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F2ECE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Theme="minorEastAsia" w:hAnsiTheme="minorEastAsia" w:eastAsiaTheme="minorEastAsia" w:cstheme="minorEastAsia"/>
          <w:b/>
          <w:bCs w:val="0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/>
          <w:bCs w:val="0"/>
          <w:sz w:val="32"/>
          <w:szCs w:val="32"/>
          <w:lang w:val="en-US" w:eastAsia="zh-CN"/>
        </w:rPr>
        <w:t>广西双钱健康产业股份有限公司</w:t>
      </w:r>
    </w:p>
    <w:p w14:paraId="78FCB029">
      <w:pPr>
        <w:pageBreakBefore w:val="0"/>
        <w:kinsoku/>
        <w:overflowPunct/>
        <w:topLinePunct w:val="0"/>
        <w:autoSpaceDE/>
        <w:autoSpaceDN/>
        <w:bidi w:val="0"/>
        <w:adjustRightInd/>
        <w:spacing w:line="360" w:lineRule="auto"/>
        <w:jc w:val="center"/>
        <w:textAlignment w:val="auto"/>
        <w:rPr>
          <w:rFonts w:hint="eastAsia" w:asciiTheme="minorEastAsia" w:hAnsiTheme="minorEastAsia" w:cstheme="minorEastAsia"/>
          <w:b/>
          <w:bCs w:val="0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 w:val="0"/>
          <w:sz w:val="32"/>
          <w:szCs w:val="32"/>
          <w:lang w:val="en-US" w:eastAsia="zh-CN"/>
        </w:rPr>
        <w:t>凉粉草采购项目</w:t>
      </w:r>
      <w:r>
        <w:rPr>
          <w:rFonts w:hint="eastAsia" w:asciiTheme="minorEastAsia" w:hAnsiTheme="minorEastAsia" w:cstheme="minorEastAsia"/>
          <w:b/>
          <w:bCs w:val="0"/>
          <w:sz w:val="32"/>
          <w:szCs w:val="32"/>
          <w:lang w:val="en-US" w:eastAsia="zh-CN"/>
        </w:rPr>
        <w:t>（二次）变更公告</w:t>
      </w:r>
    </w:p>
    <w:p w14:paraId="70572778">
      <w:pPr>
        <w:pageBreakBefore w:val="0"/>
        <w:kinsoku/>
        <w:overflowPunct/>
        <w:topLinePunct w:val="0"/>
        <w:autoSpaceDE/>
        <w:autoSpaceDN/>
        <w:bidi w:val="0"/>
        <w:adjustRightInd/>
        <w:spacing w:line="360" w:lineRule="auto"/>
        <w:jc w:val="center"/>
        <w:textAlignment w:val="auto"/>
        <w:rPr>
          <w:rFonts w:hint="eastAsia" w:asciiTheme="minorEastAsia" w:hAnsiTheme="minorEastAsia" w:cstheme="minorEastAsia"/>
          <w:b/>
          <w:bCs w:val="0"/>
          <w:sz w:val="32"/>
          <w:szCs w:val="32"/>
          <w:lang w:val="en-US" w:eastAsia="zh-CN"/>
        </w:rPr>
      </w:pPr>
    </w:p>
    <w:p w14:paraId="40EADA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jc w:val="left"/>
        <w:textAlignment w:val="auto"/>
        <w:rPr>
          <w:rFonts w:hint="eastAsia" w:asciiTheme="minorEastAsia" w:hAnsiTheme="minorEastAsia" w:cstheme="minorEastAsia"/>
          <w:b w:val="0"/>
          <w:bCs/>
          <w:kern w:val="2"/>
          <w:sz w:val="24"/>
          <w:szCs w:val="24"/>
          <w:lang w:val="en-US" w:eastAsia="zh-CN" w:bidi="ar-SA"/>
        </w:rPr>
      </w:pPr>
      <w:r>
        <w:rPr>
          <w:rFonts w:hint="default" w:asciiTheme="minorEastAsia" w:hAnsiTheme="minorEastAsia" w:eastAsiaTheme="minorEastAsia" w:cstheme="minorEastAsia"/>
          <w:b w:val="0"/>
          <w:bCs/>
          <w:kern w:val="2"/>
          <w:sz w:val="24"/>
          <w:szCs w:val="24"/>
          <w:lang w:val="en-US" w:eastAsia="zh-CN" w:bidi="ar-SA"/>
        </w:rPr>
        <w:t>广西双钱</w:t>
      </w:r>
      <w:r>
        <w:rPr>
          <w:rFonts w:hint="eastAsia" w:asciiTheme="minorEastAsia" w:hAnsiTheme="minorEastAsia" w:cstheme="minorEastAsia"/>
          <w:b w:val="0"/>
          <w:bCs/>
          <w:kern w:val="2"/>
          <w:sz w:val="24"/>
          <w:szCs w:val="24"/>
          <w:lang w:val="en-US" w:eastAsia="zh-CN" w:bidi="ar-SA"/>
        </w:rPr>
        <w:t>健康产</w:t>
      </w:r>
      <w:r>
        <w:rPr>
          <w:rFonts w:hint="default" w:asciiTheme="minorEastAsia" w:hAnsiTheme="minorEastAsia" w:eastAsiaTheme="minorEastAsia" w:cstheme="minorEastAsia"/>
          <w:b w:val="0"/>
          <w:bCs/>
          <w:kern w:val="2"/>
          <w:sz w:val="24"/>
          <w:szCs w:val="24"/>
          <w:lang w:val="en-US" w:eastAsia="zh-CN" w:bidi="ar-SA"/>
        </w:rPr>
        <w:t>业</w:t>
      </w:r>
      <w:r>
        <w:rPr>
          <w:rFonts w:hint="eastAsia" w:asciiTheme="minorEastAsia" w:hAnsiTheme="minorEastAsia" w:cstheme="minorEastAsia"/>
          <w:b w:val="0"/>
          <w:bCs/>
          <w:kern w:val="2"/>
          <w:sz w:val="24"/>
          <w:szCs w:val="24"/>
          <w:lang w:val="en-US" w:eastAsia="zh-CN" w:bidi="ar-SA"/>
        </w:rPr>
        <w:t>股份</w:t>
      </w:r>
      <w:r>
        <w:rPr>
          <w:rFonts w:hint="default" w:asciiTheme="minorEastAsia" w:hAnsiTheme="minorEastAsia" w:eastAsiaTheme="minorEastAsia" w:cstheme="minorEastAsia"/>
          <w:b w:val="0"/>
          <w:bCs/>
          <w:kern w:val="2"/>
          <w:sz w:val="24"/>
          <w:szCs w:val="24"/>
          <w:lang w:val="en-US" w:eastAsia="zh-CN" w:bidi="ar-SA"/>
        </w:rPr>
        <w:t>有限公司</w:t>
      </w:r>
      <w:r>
        <w:rPr>
          <w:rFonts w:hint="eastAsia" w:asciiTheme="minorEastAsia" w:hAnsiTheme="minorEastAsia" w:cstheme="minorEastAsia"/>
          <w:b w:val="0"/>
          <w:bCs/>
          <w:kern w:val="2"/>
          <w:sz w:val="24"/>
          <w:szCs w:val="24"/>
          <w:lang w:val="en-US" w:eastAsia="zh-CN" w:bidi="ar-SA"/>
        </w:rPr>
        <w:t>凉粉草采购项目（二次）变更公告如下：</w:t>
      </w:r>
    </w:p>
    <w:p w14:paraId="741ADFA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jc w:val="left"/>
        <w:textAlignment w:val="auto"/>
        <w:rPr>
          <w:rFonts w:hint="eastAsia" w:asciiTheme="minorEastAsia" w:hAnsiTheme="minorEastAsia" w:cstheme="minorEastAsia"/>
          <w:b w:val="0"/>
          <w:bCs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/>
          <w:sz w:val="24"/>
          <w:szCs w:val="24"/>
          <w:lang w:val="en-US" w:eastAsia="zh-CN"/>
        </w:rPr>
        <w:t>1、凉粉草质量标准要求新增用途为凉粉草提取液的凉粉草的中试要求（详见本公告附件1）。</w:t>
      </w:r>
    </w:p>
    <w:p w14:paraId="0556D4E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jc w:val="left"/>
        <w:textAlignment w:val="auto"/>
        <w:rPr>
          <w:rFonts w:hint="default" w:asciiTheme="minorEastAsia" w:hAnsiTheme="minorEastAsia" w:cstheme="minorEastAsia"/>
          <w:b w:val="0"/>
          <w:bCs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/>
          <w:sz w:val="24"/>
          <w:szCs w:val="24"/>
          <w:lang w:val="en-US" w:eastAsia="zh-CN"/>
        </w:rPr>
        <w:t>2、报价截止时间延长至自本公告发布之日起5个工作日后截止报价响应。</w:t>
      </w:r>
      <w:bookmarkStart w:id="0" w:name="_GoBack"/>
      <w:bookmarkEnd w:id="0"/>
    </w:p>
    <w:p w14:paraId="7D72215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jc w:val="left"/>
        <w:textAlignment w:val="auto"/>
        <w:rPr>
          <w:rFonts w:hint="eastAsia" w:asciiTheme="minorEastAsia" w:hAnsiTheme="minorEastAsia" w:cstheme="minorEastAsia"/>
          <w:b w:val="0"/>
          <w:bCs/>
          <w:sz w:val="24"/>
          <w:szCs w:val="24"/>
          <w:lang w:val="en-US" w:eastAsia="zh-CN"/>
        </w:rPr>
      </w:pPr>
    </w:p>
    <w:p w14:paraId="4974506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jc w:val="left"/>
        <w:textAlignment w:val="auto"/>
        <w:rPr>
          <w:rFonts w:hint="eastAsia" w:asciiTheme="minorEastAsia" w:hAnsiTheme="minorEastAsia" w:cstheme="minorEastAsia"/>
          <w:b w:val="0"/>
          <w:bCs/>
          <w:sz w:val="24"/>
          <w:szCs w:val="24"/>
          <w:lang w:val="en-US" w:eastAsia="zh-CN"/>
        </w:rPr>
      </w:pPr>
    </w:p>
    <w:p w14:paraId="37403D1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jc w:val="left"/>
        <w:textAlignment w:val="auto"/>
        <w:rPr>
          <w:rFonts w:hint="eastAsia" w:asciiTheme="minorEastAsia" w:hAnsiTheme="minorEastAsia" w:cstheme="minorEastAsia"/>
          <w:b/>
          <w:bCs w:val="0"/>
          <w:sz w:val="24"/>
          <w:szCs w:val="24"/>
          <w:lang w:val="en-US" w:eastAsia="zh-CN"/>
        </w:rPr>
      </w:pPr>
    </w:p>
    <w:p w14:paraId="0D80658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Theme="minorEastAsia" w:hAnsiTheme="minorEastAsia" w:cstheme="minorEastAsia"/>
          <w:b w:val="0"/>
          <w:bCs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/>
          <w:sz w:val="24"/>
          <w:szCs w:val="24"/>
          <w:lang w:val="en-US" w:eastAsia="zh-CN"/>
        </w:rPr>
        <w:t>附件1：</w:t>
      </w:r>
    </w:p>
    <w:p w14:paraId="6487583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Theme="minorEastAsia" w:hAnsiTheme="minorEastAsia" w:cstheme="minorEastAsia"/>
          <w:b w:val="0"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/>
          <w:sz w:val="28"/>
          <w:szCs w:val="28"/>
          <w:lang w:val="en-US" w:eastAsia="zh-CN"/>
        </w:rPr>
        <w:t>凉粉草质量标准要求</w:t>
      </w:r>
    </w:p>
    <w:p w14:paraId="264D5E69">
      <w:pPr>
        <w:snapToGrid w:val="0"/>
        <w:spacing w:line="360" w:lineRule="auto"/>
        <w:jc w:val="center"/>
        <w:rPr>
          <w:rFonts w:hint="default" w:ascii="Times New Roman" w:hAnsi="Times New Roman" w:cs="Times New Roman"/>
          <w:b w:val="0"/>
          <w:bCs/>
          <w:sz w:val="28"/>
          <w:szCs w:val="28"/>
        </w:rPr>
      </w:pPr>
    </w:p>
    <w:p w14:paraId="596B4F86">
      <w:pPr>
        <w:snapToGrid w:val="0"/>
        <w:spacing w:line="360" w:lineRule="auto"/>
        <w:rPr>
          <w:rFonts w:hint="eastAsia" w:ascii="Times New Roman" w:hAnsi="Times New Roman" w:eastAsia="宋体" w:cs="Times New Roman"/>
          <w:b w:val="0"/>
          <w:bCs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/>
          <w:lang w:val="en-US" w:eastAsia="zh-CN"/>
        </w:rPr>
        <w:t xml:space="preserve">1  </w:t>
      </w:r>
      <w:r>
        <w:rPr>
          <w:rFonts w:hint="eastAsia" w:ascii="Times New Roman" w:hAnsi="Times New Roman" w:eastAsia="宋体" w:cs="Times New Roman"/>
          <w:b w:val="0"/>
          <w:bCs/>
          <w:lang w:val="en-US" w:eastAsia="zh-CN"/>
        </w:rPr>
        <w:t xml:space="preserve">感官要求  </w:t>
      </w:r>
    </w:p>
    <w:p w14:paraId="0463E6A5">
      <w:pPr>
        <w:snapToGrid w:val="0"/>
        <w:spacing w:line="360" w:lineRule="auto"/>
        <w:ind w:firstLine="422" w:firstLineChars="200"/>
        <w:rPr>
          <w:rFonts w:hint="default" w:ascii="Times New Roman" w:hAnsi="Times New Roman" w:cs="Times New Roman"/>
          <w:b w:val="0"/>
          <w:bCs/>
          <w:szCs w:val="21"/>
        </w:rPr>
      </w:pPr>
      <w:r>
        <w:rPr>
          <w:rFonts w:hint="eastAsia" w:ascii="Times New Roman" w:hAnsi="Times New Roman" w:eastAsia="宋体" w:cs="Times New Roman"/>
          <w:b w:val="0"/>
          <w:bCs/>
          <w:lang w:val="en-US" w:eastAsia="zh-CN"/>
        </w:rPr>
        <w:t>本品</w:t>
      </w:r>
      <w:r>
        <w:rPr>
          <w:rFonts w:hint="default" w:ascii="Times New Roman" w:hAnsi="Times New Roman" w:cs="Times New Roman"/>
          <w:b w:val="0"/>
          <w:bCs/>
          <w:szCs w:val="21"/>
        </w:rPr>
        <w:t>又名仙人草，为一年生唇形科草本植物。茎呈方形，被疏长毛。叶卵形或卵状长圆形，先端稍顿，基部渐收缩成柄，边缘有小锯齿，两面均有疏长毛。嚼之味甘淡，有胶性。具有醇香味，无异味，无霉变。</w:t>
      </w:r>
    </w:p>
    <w:p w14:paraId="27DEF5C0">
      <w:pPr>
        <w:snapToGrid w:val="0"/>
        <w:spacing w:line="360" w:lineRule="auto"/>
        <w:ind w:firstLine="422" w:firstLineChars="200"/>
        <w:rPr>
          <w:rFonts w:hint="default" w:ascii="Times New Roman" w:hAnsi="Times New Roman" w:cs="Times New Roman"/>
          <w:b w:val="0"/>
          <w:bCs/>
          <w:szCs w:val="21"/>
        </w:rPr>
      </w:pPr>
      <w:r>
        <w:rPr>
          <w:rFonts w:hint="default" w:ascii="Times New Roman" w:hAnsi="Times New Roman" w:cs="Times New Roman"/>
          <w:b w:val="0"/>
          <w:bCs/>
          <w:szCs w:val="21"/>
        </w:rPr>
        <w:t>凉粉草叶  除去茎和杂质的干燥凉粉草叶，多皱缩，纸质有韧性，长圆形或卵圆形，两面皆被疏长毛，嚼之味甘淡，有胶性。具有醇香味，无异味，无霉变。</w:t>
      </w:r>
    </w:p>
    <w:p w14:paraId="1221982E">
      <w:pPr>
        <w:snapToGrid w:val="0"/>
        <w:spacing w:line="360" w:lineRule="auto"/>
        <w:rPr>
          <w:rFonts w:hint="default" w:ascii="Times New Roman" w:hAnsi="Times New Roman" w:cs="Times New Roman"/>
          <w:b w:val="0"/>
          <w:bCs/>
          <w:szCs w:val="21"/>
        </w:rPr>
      </w:pPr>
      <w:r>
        <w:rPr>
          <w:rFonts w:hint="eastAsia" w:ascii="Times New Roman" w:hAnsi="Times New Roman" w:cs="Times New Roman"/>
          <w:b w:val="0"/>
          <w:bCs/>
          <w:szCs w:val="21"/>
          <w:lang w:val="en-US" w:eastAsia="zh-CN"/>
        </w:rPr>
        <w:t>2  理化指标</w:t>
      </w:r>
    </w:p>
    <w:p w14:paraId="52DE6CBD">
      <w:pPr>
        <w:snapToGrid w:val="0"/>
        <w:spacing w:line="360" w:lineRule="auto"/>
        <w:rPr>
          <w:rFonts w:hint="default" w:ascii="Times New Roman" w:hAnsi="Times New Roman" w:cs="Times New Roman"/>
          <w:b w:val="0"/>
          <w:bCs/>
          <w:szCs w:val="21"/>
        </w:rPr>
      </w:pPr>
      <w:r>
        <w:rPr>
          <w:rFonts w:hint="eastAsia" w:ascii="Times New Roman" w:hAnsi="Times New Roman" w:cs="Times New Roman"/>
          <w:b w:val="0"/>
          <w:bCs/>
          <w:szCs w:val="21"/>
          <w:lang w:val="en-US" w:eastAsia="zh-CN"/>
        </w:rPr>
        <w:t>2.</w:t>
      </w:r>
      <w:r>
        <w:rPr>
          <w:rFonts w:hint="default" w:ascii="Times New Roman" w:hAnsi="Times New Roman" w:cs="Times New Roman"/>
          <w:b w:val="0"/>
          <w:bCs/>
          <w:szCs w:val="21"/>
        </w:rPr>
        <w:t>1</w:t>
      </w:r>
      <w:r>
        <w:rPr>
          <w:rFonts w:hint="eastAsia" w:ascii="Times New Roman" w:hAnsi="Times New Roman" w:cs="Times New Roman"/>
          <w:b w:val="0"/>
          <w:bCs/>
          <w:szCs w:val="21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 w:val="0"/>
          <w:bCs/>
          <w:szCs w:val="21"/>
        </w:rPr>
        <w:t>水分：干燥失重不得过16.0%。</w:t>
      </w:r>
      <w:r>
        <w:rPr>
          <w:rFonts w:hint="eastAsia" w:ascii="Times New Roman" w:hAnsi="Times New Roman" w:cs="Times New Roman"/>
          <w:b w:val="0"/>
          <w:bCs/>
          <w:szCs w:val="21"/>
          <w:lang w:val="en-US" w:eastAsia="zh-CN"/>
        </w:rPr>
        <w:t>（</w:t>
      </w:r>
      <w:r>
        <w:rPr>
          <w:rFonts w:hint="default" w:ascii="Times New Roman" w:hAnsi="Times New Roman" w:cs="Times New Roman"/>
          <w:b w:val="0"/>
          <w:bCs/>
          <w:szCs w:val="21"/>
        </w:rPr>
        <w:t>按</w:t>
      </w:r>
      <w:r>
        <w:rPr>
          <w:rFonts w:hint="default" w:ascii="Times New Roman" w:hAnsi="Times New Roman" w:eastAsia="宋体" w:cs="Times New Roman"/>
          <w:b w:val="0"/>
          <w:bCs/>
          <w:szCs w:val="21"/>
          <w:lang w:val="en-US" w:eastAsia="zh-CN"/>
        </w:rPr>
        <w:t>GB 5009.</w:t>
      </w:r>
      <w:r>
        <w:rPr>
          <w:rFonts w:hint="eastAsia" w:ascii="Times New Roman" w:hAnsi="Times New Roman" w:eastAsia="宋体" w:cs="Times New Roman"/>
          <w:b w:val="0"/>
          <w:bCs/>
          <w:szCs w:val="21"/>
          <w:lang w:val="en-US" w:eastAsia="zh-CN"/>
        </w:rPr>
        <w:t>3</w:t>
      </w:r>
      <w:r>
        <w:rPr>
          <w:rFonts w:hint="default" w:ascii="Times New Roman" w:hAnsi="Times New Roman" w:cs="Times New Roman"/>
          <w:b w:val="0"/>
          <w:bCs/>
          <w:szCs w:val="21"/>
        </w:rPr>
        <w:t>规定执行</w:t>
      </w:r>
      <w:r>
        <w:rPr>
          <w:rFonts w:hint="eastAsia" w:ascii="Times New Roman" w:hAnsi="Times New Roman" w:cs="Times New Roman"/>
          <w:b w:val="0"/>
          <w:bCs/>
          <w:lang w:eastAsia="zh-CN"/>
        </w:rPr>
        <w:t>）</w:t>
      </w:r>
    </w:p>
    <w:p w14:paraId="7CF08CCA">
      <w:pPr>
        <w:snapToGrid w:val="0"/>
        <w:spacing w:line="360" w:lineRule="auto"/>
        <w:rPr>
          <w:rFonts w:hint="default" w:ascii="Times New Roman" w:hAnsi="Times New Roman" w:cs="Times New Roman"/>
          <w:b w:val="0"/>
          <w:bCs/>
          <w:szCs w:val="21"/>
        </w:rPr>
      </w:pPr>
      <w:r>
        <w:rPr>
          <w:rFonts w:hint="eastAsia" w:ascii="Times New Roman" w:hAnsi="Times New Roman" w:cs="Times New Roman"/>
          <w:b w:val="0"/>
          <w:bCs/>
          <w:szCs w:val="21"/>
          <w:lang w:val="en-US" w:eastAsia="zh-CN"/>
        </w:rPr>
        <w:t>2.</w:t>
      </w:r>
      <w:r>
        <w:rPr>
          <w:rFonts w:hint="default" w:ascii="Times New Roman" w:hAnsi="Times New Roman" w:cs="Times New Roman"/>
          <w:b w:val="0"/>
          <w:bCs/>
          <w:szCs w:val="21"/>
        </w:rPr>
        <w:t>2</w:t>
      </w:r>
      <w:r>
        <w:rPr>
          <w:rFonts w:hint="eastAsia" w:ascii="Times New Roman" w:hAnsi="Times New Roman" w:cs="Times New Roman"/>
          <w:b w:val="0"/>
          <w:bCs/>
          <w:szCs w:val="21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 w:val="0"/>
          <w:bCs/>
          <w:szCs w:val="21"/>
        </w:rPr>
        <w:t>杂质：不得超过4.0%。</w:t>
      </w:r>
    </w:p>
    <w:p w14:paraId="2F75F778">
      <w:pPr>
        <w:snapToGrid w:val="0"/>
        <w:spacing w:line="360" w:lineRule="auto"/>
        <w:rPr>
          <w:rFonts w:hint="default" w:ascii="Times New Roman" w:hAnsi="Times New Roman" w:cs="Times New Roman"/>
          <w:b w:val="0"/>
          <w:bCs/>
          <w:szCs w:val="21"/>
        </w:rPr>
      </w:pPr>
      <w:r>
        <w:rPr>
          <w:rFonts w:hint="eastAsia" w:ascii="Times New Roman" w:hAnsi="Times New Roman" w:cs="Times New Roman"/>
          <w:b w:val="0"/>
          <w:bCs/>
          <w:szCs w:val="21"/>
          <w:lang w:val="en-US" w:eastAsia="zh-CN"/>
        </w:rPr>
        <w:t>2.</w:t>
      </w:r>
      <w:r>
        <w:rPr>
          <w:rFonts w:hint="default" w:ascii="Times New Roman" w:hAnsi="Times New Roman" w:cs="Times New Roman"/>
          <w:b w:val="0"/>
          <w:bCs/>
          <w:szCs w:val="21"/>
        </w:rPr>
        <w:t>3</w:t>
      </w:r>
      <w:r>
        <w:rPr>
          <w:rFonts w:hint="eastAsia" w:ascii="Times New Roman" w:hAnsi="Times New Roman" w:cs="Times New Roman"/>
          <w:b w:val="0"/>
          <w:bCs/>
          <w:szCs w:val="21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 w:val="0"/>
          <w:bCs/>
          <w:szCs w:val="21"/>
        </w:rPr>
        <w:t>含胶量</w:t>
      </w:r>
      <w:r>
        <w:rPr>
          <w:rFonts w:hint="eastAsia" w:ascii="Times New Roman" w:hAnsi="Times New Roman" w:cs="Times New Roman"/>
          <w:b w:val="0"/>
          <w:bCs/>
          <w:szCs w:val="21"/>
          <w:lang w:eastAsia="zh-CN"/>
        </w:rPr>
        <w:t>的测定</w:t>
      </w:r>
      <w:r>
        <w:rPr>
          <w:rFonts w:hint="default" w:ascii="Times New Roman" w:hAnsi="Times New Roman" w:cs="Times New Roman"/>
          <w:b w:val="0"/>
          <w:bCs/>
          <w:szCs w:val="21"/>
        </w:rPr>
        <w:t>：</w:t>
      </w:r>
    </w:p>
    <w:p w14:paraId="6E2CE02E">
      <w:pPr>
        <w:snapToGrid w:val="0"/>
        <w:spacing w:line="360" w:lineRule="auto"/>
        <w:rPr>
          <w:rFonts w:hint="default" w:ascii="Times New Roman" w:hAnsi="Times New Roman" w:cs="Times New Roman"/>
          <w:b w:val="0"/>
          <w:bCs/>
          <w:szCs w:val="21"/>
        </w:rPr>
      </w:pPr>
      <w:r>
        <w:rPr>
          <w:rFonts w:hint="default" w:ascii="Times New Roman" w:hAnsi="Times New Roman" w:cs="Times New Roman"/>
          <w:b w:val="0"/>
          <w:bCs/>
          <w:szCs w:val="21"/>
        </w:rPr>
        <w:t xml:space="preserve">    (1)提取：取本品100g，去除一切杂质，用清水冲冼干净后湿润2小时以上。加甲B 3.84g(碳酸钾)、素A 2.32g（碳酸钠）, 加约15</w:t>
      </w:r>
      <w:r>
        <w:rPr>
          <w:rFonts w:hint="eastAsia" w:ascii="Times New Roman" w:hAnsi="Times New Roman" w:cs="Times New Roman"/>
          <w:b w:val="0"/>
          <w:bCs/>
          <w:szCs w:val="21"/>
          <w:lang w:val="en-US" w:eastAsia="zh-CN"/>
        </w:rPr>
        <w:t>~</w:t>
      </w:r>
      <w:r>
        <w:rPr>
          <w:rFonts w:hint="default" w:ascii="Times New Roman" w:hAnsi="Times New Roman" w:cs="Times New Roman"/>
          <w:b w:val="0"/>
          <w:bCs/>
          <w:szCs w:val="21"/>
        </w:rPr>
        <w:t>20倍药材量的水煮沸1小时后加入碱石（无水磷酸氢二钠）1.216g 溶液，再煮沸2.5小时，滤取水提液；再加入15倍水煮沸，2.5小时，滤取水提液，全并提取液过滤并浓缩到约1000</w:t>
      </w:r>
      <w:r>
        <w:rPr>
          <w:rFonts w:hint="eastAsia" w:ascii="Times New Roman" w:hAnsi="Times New Roman" w:cs="Times New Roman"/>
          <w:b w:val="0"/>
          <w:bCs/>
          <w:szCs w:val="21"/>
          <w:lang w:eastAsia="zh-CN"/>
        </w:rPr>
        <w:t>mL</w:t>
      </w:r>
      <w:r>
        <w:rPr>
          <w:rFonts w:hint="default" w:ascii="Times New Roman" w:hAnsi="Times New Roman" w:cs="Times New Roman"/>
          <w:b w:val="0"/>
          <w:bCs/>
          <w:szCs w:val="21"/>
        </w:rPr>
        <w:t>备用。</w:t>
      </w:r>
    </w:p>
    <w:p w14:paraId="3973DEC3">
      <w:pPr>
        <w:snapToGrid w:val="0"/>
        <w:spacing w:line="360" w:lineRule="auto"/>
        <w:rPr>
          <w:rFonts w:hint="default" w:ascii="Times New Roman" w:hAnsi="Times New Roman" w:cs="Times New Roman"/>
          <w:b w:val="0"/>
          <w:bCs/>
          <w:szCs w:val="21"/>
        </w:rPr>
      </w:pPr>
      <w:r>
        <w:rPr>
          <w:rFonts w:hint="default" w:ascii="Times New Roman" w:hAnsi="Times New Roman" w:cs="Times New Roman"/>
          <w:b w:val="0"/>
          <w:bCs/>
          <w:szCs w:val="21"/>
        </w:rPr>
        <w:t xml:space="preserve">    (2)试验：取淀粉9g，加上提取液适， 进行梯度试验，定容至275</w:t>
      </w:r>
      <w:r>
        <w:rPr>
          <w:rFonts w:hint="eastAsia" w:ascii="Times New Roman" w:hAnsi="Times New Roman" w:cs="Times New Roman"/>
          <w:b w:val="0"/>
          <w:bCs/>
          <w:szCs w:val="21"/>
          <w:lang w:eastAsia="zh-CN"/>
        </w:rPr>
        <w:t>mL</w:t>
      </w:r>
      <w:r>
        <w:rPr>
          <w:rFonts w:hint="default" w:ascii="Times New Roman" w:hAnsi="Times New Roman" w:cs="Times New Roman"/>
          <w:b w:val="0"/>
          <w:bCs/>
          <w:szCs w:val="21"/>
        </w:rPr>
        <w:t>煮溶煮沸，放冷使成膏体，直至成型良好(从1米高处落下不破碎)。本试验相当于凉粉10g。</w:t>
      </w:r>
    </w:p>
    <w:p w14:paraId="470735BA">
      <w:pPr>
        <w:snapToGrid w:val="0"/>
        <w:spacing w:line="360" w:lineRule="auto"/>
        <w:rPr>
          <w:rFonts w:hint="default" w:ascii="Times New Roman" w:hAnsi="Times New Roman" w:cs="Times New Roman"/>
          <w:b w:val="0"/>
          <w:bCs/>
          <w:szCs w:val="21"/>
        </w:rPr>
      </w:pPr>
      <w:r>
        <w:rPr>
          <w:rFonts w:hint="default" w:ascii="Times New Roman" w:hAnsi="Times New Roman" w:cs="Times New Roman"/>
          <w:b w:val="0"/>
          <w:bCs/>
          <w:szCs w:val="21"/>
        </w:rPr>
        <w:t>质量判断：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 w14:paraId="1AA5C8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261" w:type="dxa"/>
            <w:noWrap w:val="0"/>
            <w:vAlign w:val="center"/>
          </w:tcPr>
          <w:p w14:paraId="1EC6276D">
            <w:pPr>
              <w:snapToGrid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Cs w:val="21"/>
                <w:vertAlign w:val="baseline"/>
                <w:lang w:eastAsia="zh-CN"/>
              </w:rPr>
              <w:t>等级规格</w:t>
            </w:r>
          </w:p>
        </w:tc>
        <w:tc>
          <w:tcPr>
            <w:tcW w:w="4261" w:type="dxa"/>
            <w:noWrap w:val="0"/>
            <w:vAlign w:val="center"/>
          </w:tcPr>
          <w:p w14:paraId="6D9A3781">
            <w:pPr>
              <w:snapToGrid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Cs w:val="21"/>
                <w:vertAlign w:val="baseline"/>
                <w:lang w:eastAsia="zh-CN"/>
              </w:rPr>
              <w:t>含胶量</w:t>
            </w:r>
          </w:p>
        </w:tc>
      </w:tr>
      <w:tr w14:paraId="04268D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261" w:type="dxa"/>
            <w:noWrap w:val="0"/>
            <w:vAlign w:val="center"/>
          </w:tcPr>
          <w:p w14:paraId="29686880">
            <w:pPr>
              <w:snapToGrid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Cs w:val="21"/>
                <w:vertAlign w:val="baseline"/>
                <w:lang w:val="en-US" w:eastAsia="zh-CN"/>
              </w:rPr>
              <w:t>A</w:t>
            </w:r>
          </w:p>
        </w:tc>
        <w:tc>
          <w:tcPr>
            <w:tcW w:w="4261" w:type="dxa"/>
            <w:noWrap w:val="0"/>
            <w:vAlign w:val="center"/>
          </w:tcPr>
          <w:p w14:paraId="73F3BA8C">
            <w:pPr>
              <w:snapToGrid w:val="0"/>
              <w:spacing w:line="240" w:lineRule="auto"/>
              <w:jc w:val="center"/>
              <w:rPr>
                <w:rFonts w:hint="default" w:ascii="Times New Roman" w:hAnsi="Times New Roman" w:cs="Times New Roman"/>
                <w:b w:val="0"/>
                <w:bCs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Cs w:val="21"/>
              </w:rPr>
              <w:t>≥1.25</w:t>
            </w:r>
          </w:p>
        </w:tc>
      </w:tr>
      <w:tr w14:paraId="49C7A3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261" w:type="dxa"/>
            <w:noWrap w:val="0"/>
            <w:vAlign w:val="center"/>
          </w:tcPr>
          <w:p w14:paraId="468C6301">
            <w:pPr>
              <w:snapToGrid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Cs w:val="21"/>
                <w:vertAlign w:val="baseline"/>
                <w:lang w:val="en-US" w:eastAsia="zh-CN"/>
              </w:rPr>
              <w:t>B</w:t>
            </w:r>
          </w:p>
        </w:tc>
        <w:tc>
          <w:tcPr>
            <w:tcW w:w="4261" w:type="dxa"/>
            <w:noWrap w:val="0"/>
            <w:vAlign w:val="center"/>
          </w:tcPr>
          <w:p w14:paraId="32128751">
            <w:pPr>
              <w:snapToGrid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Cs w:val="21"/>
              </w:rPr>
              <w:t>≥</w:t>
            </w:r>
            <w:r>
              <w:rPr>
                <w:rFonts w:hint="default" w:ascii="Times New Roman" w:hAnsi="Times New Roman" w:cs="Times New Roman"/>
                <w:b w:val="0"/>
                <w:bCs/>
                <w:szCs w:val="21"/>
                <w:lang w:val="en-US" w:eastAsia="zh-CN"/>
              </w:rPr>
              <w:t>0.8</w:t>
            </w:r>
            <w:r>
              <w:rPr>
                <w:rFonts w:hint="default" w:ascii="Times New Roman" w:hAnsi="Times New Roman" w:cs="Times New Roman"/>
                <w:b w:val="0"/>
                <w:bCs/>
                <w:szCs w:val="21"/>
                <w:lang w:eastAsia="zh-CN"/>
              </w:rPr>
              <w:t>且＜</w:t>
            </w:r>
            <w:r>
              <w:rPr>
                <w:rFonts w:hint="default" w:ascii="Times New Roman" w:hAnsi="Times New Roman" w:cs="Times New Roman"/>
                <w:b w:val="0"/>
                <w:bCs/>
                <w:szCs w:val="21"/>
                <w:lang w:val="en-US" w:eastAsia="zh-CN"/>
              </w:rPr>
              <w:t>1.25</w:t>
            </w:r>
          </w:p>
        </w:tc>
      </w:tr>
      <w:tr w14:paraId="3056A2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261" w:type="dxa"/>
            <w:noWrap w:val="0"/>
            <w:vAlign w:val="center"/>
          </w:tcPr>
          <w:p w14:paraId="7BB97719">
            <w:pPr>
              <w:snapToGrid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Cs w:val="21"/>
                <w:vertAlign w:val="baseline"/>
                <w:lang w:val="en-US" w:eastAsia="zh-CN"/>
              </w:rPr>
              <w:t>C</w:t>
            </w:r>
          </w:p>
        </w:tc>
        <w:tc>
          <w:tcPr>
            <w:tcW w:w="4261" w:type="dxa"/>
            <w:noWrap w:val="0"/>
            <w:vAlign w:val="center"/>
          </w:tcPr>
          <w:p w14:paraId="2B25DCF3">
            <w:pPr>
              <w:snapToGrid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Cs w:val="21"/>
                <w:lang w:eastAsia="zh-CN"/>
              </w:rPr>
              <w:t>＜</w:t>
            </w:r>
            <w:r>
              <w:rPr>
                <w:rFonts w:hint="default" w:ascii="Times New Roman" w:hAnsi="Times New Roman" w:cs="Times New Roman"/>
                <w:b w:val="0"/>
                <w:bCs/>
                <w:szCs w:val="21"/>
                <w:lang w:val="en-US" w:eastAsia="zh-CN"/>
              </w:rPr>
              <w:t>0.8</w:t>
            </w:r>
          </w:p>
        </w:tc>
      </w:tr>
    </w:tbl>
    <w:p w14:paraId="5C2B464C">
      <w:pPr>
        <w:snapToGrid w:val="0"/>
        <w:spacing w:line="360" w:lineRule="auto"/>
        <w:rPr>
          <w:rFonts w:hint="default" w:ascii="Times New Roman" w:hAnsi="Times New Roman" w:cs="Times New Roman"/>
          <w:b w:val="0"/>
          <w:bCs/>
          <w:szCs w:val="21"/>
        </w:rPr>
      </w:pPr>
      <w:r>
        <w:rPr>
          <w:rFonts w:hint="default" w:ascii="Times New Roman" w:hAnsi="Times New Roman" w:cs="Times New Roman"/>
          <w:b w:val="0"/>
          <w:bCs/>
          <w:szCs w:val="21"/>
        </w:rPr>
        <w:t>本品8g，应相当于凉粉10g以上(即≥1.25：1)</w:t>
      </w:r>
    </w:p>
    <w:p w14:paraId="5E55D015">
      <w:pPr>
        <w:rPr>
          <w:rFonts w:hint="default" w:ascii="Times New Roman" w:hAnsi="Times New Roman" w:cs="Times New Roman"/>
          <w:b w:val="0"/>
          <w:bCs/>
          <w:szCs w:val="21"/>
        </w:rPr>
      </w:pPr>
      <w:r>
        <w:rPr>
          <w:rFonts w:hint="default" w:ascii="Times New Roman" w:hAnsi="Times New Roman" w:cs="Times New Roman"/>
          <w:b w:val="0"/>
          <w:bCs/>
          <w:szCs w:val="21"/>
        </w:rPr>
        <w:t>计算：</w:t>
      </w:r>
      <w:r>
        <w:rPr>
          <w:rFonts w:hint="default" w:ascii="Times New Roman" w:hAnsi="Times New Roman" w:cs="Times New Roman"/>
          <w:b w:val="0"/>
          <w:bCs/>
          <w:szCs w:val="21"/>
          <w:u w:val="single"/>
        </w:rPr>
        <w:t xml:space="preserve">药液总体积 </w:t>
      </w:r>
      <w:r>
        <w:rPr>
          <w:rFonts w:hint="default" w:ascii="Times New Roman" w:hAnsi="Times New Roman" w:cs="Times New Roman"/>
          <w:b w:val="0"/>
          <w:bCs/>
          <w:szCs w:val="21"/>
        </w:rPr>
        <w:t>×</w:t>
      </w:r>
      <w:r>
        <w:rPr>
          <w:rFonts w:hint="default" w:ascii="Times New Roman" w:hAnsi="Times New Roman" w:cs="Times New Roman"/>
          <w:b w:val="0"/>
          <w:bCs/>
          <w:szCs w:val="21"/>
          <w:u w:val="single"/>
        </w:rPr>
        <w:t xml:space="preserve">  10   </w:t>
      </w:r>
      <w:r>
        <w:rPr>
          <w:rFonts w:hint="default" w:ascii="Times New Roman" w:hAnsi="Times New Roman" w:cs="Times New Roman"/>
          <w:b w:val="0"/>
          <w:bCs/>
          <w:szCs w:val="21"/>
        </w:rPr>
        <w:t>=判断比率</w:t>
      </w:r>
    </w:p>
    <w:p w14:paraId="7D40E002">
      <w:pPr>
        <w:rPr>
          <w:rFonts w:hint="default" w:ascii="Times New Roman" w:hAnsi="Times New Roman" w:cs="Times New Roman"/>
          <w:b w:val="0"/>
          <w:bCs/>
          <w:szCs w:val="21"/>
        </w:rPr>
      </w:pPr>
      <w:r>
        <w:rPr>
          <w:rFonts w:hint="default" w:ascii="Times New Roman" w:hAnsi="Times New Roman" w:cs="Times New Roman"/>
          <w:b w:val="0"/>
          <w:bCs/>
          <w:szCs w:val="21"/>
        </w:rPr>
        <w:t xml:space="preserve">       成型体积     100</w:t>
      </w:r>
    </w:p>
    <w:p w14:paraId="65BCDFD5">
      <w:pPr>
        <w:snapToGrid w:val="0"/>
        <w:spacing w:line="360" w:lineRule="auto"/>
        <w:rPr>
          <w:rFonts w:hint="default" w:ascii="Times New Roman" w:hAnsi="Times New Roman" w:cs="Times New Roman"/>
          <w:b w:val="0"/>
          <w:bCs/>
          <w:szCs w:val="21"/>
        </w:rPr>
      </w:pPr>
      <w:r>
        <w:rPr>
          <w:rFonts w:hint="default" w:ascii="Times New Roman" w:hAnsi="Times New Roman" w:cs="Times New Roman"/>
          <w:b w:val="0"/>
          <w:bCs/>
          <w:szCs w:val="21"/>
        </w:rPr>
        <w:t>（成型体积：9g淀粉试验最佳成型所需草液体积。）</w:t>
      </w:r>
    </w:p>
    <w:p w14:paraId="2A99F7F5">
      <w:pPr>
        <w:snapToGrid w:val="0"/>
        <w:spacing w:line="360" w:lineRule="auto"/>
        <w:rPr>
          <w:rFonts w:hint="default" w:ascii="Times New Roman" w:hAnsi="Times New Roman" w:cs="Times New Roman"/>
          <w:b w:val="0"/>
          <w:bCs/>
          <w:szCs w:val="21"/>
          <w:lang w:eastAsia="zh-CN"/>
        </w:rPr>
      </w:pPr>
      <w:r>
        <w:rPr>
          <w:rFonts w:hint="eastAsia" w:ascii="Times New Roman" w:hAnsi="Times New Roman" w:cs="Times New Roman"/>
          <w:b w:val="0"/>
          <w:bCs/>
          <w:szCs w:val="21"/>
          <w:lang w:val="en-US" w:eastAsia="zh-CN"/>
        </w:rPr>
        <w:t xml:space="preserve">3  </w:t>
      </w:r>
      <w:r>
        <w:rPr>
          <w:rFonts w:hint="default" w:ascii="Times New Roman" w:hAnsi="Times New Roman" w:cs="Times New Roman"/>
          <w:b w:val="0"/>
          <w:bCs/>
          <w:szCs w:val="21"/>
        </w:rPr>
        <w:t>中试检验</w:t>
      </w:r>
      <w:r>
        <w:rPr>
          <w:rFonts w:hint="eastAsia" w:ascii="Times New Roman" w:hAnsi="Times New Roman" w:cs="Times New Roman"/>
          <w:b w:val="0"/>
          <w:bCs/>
          <w:szCs w:val="21"/>
          <w:lang w:val="en-US" w:eastAsia="zh-CN"/>
        </w:rPr>
        <w:t xml:space="preserve">  </w:t>
      </w:r>
    </w:p>
    <w:p w14:paraId="5D5B89A6">
      <w:pPr>
        <w:snapToGrid w:val="0"/>
        <w:spacing w:line="360" w:lineRule="auto"/>
        <w:ind w:firstLine="422" w:firstLineChars="200"/>
        <w:rPr>
          <w:rFonts w:hint="default" w:ascii="Times New Roman" w:hAnsi="Times New Roman" w:cs="Times New Roman"/>
          <w:b w:val="0"/>
          <w:bCs/>
          <w:szCs w:val="21"/>
          <w:lang w:eastAsia="zh-CN"/>
        </w:rPr>
      </w:pPr>
      <w:r>
        <w:rPr>
          <w:rFonts w:hint="eastAsia" w:ascii="Times New Roman" w:hAnsi="Times New Roman" w:cs="Times New Roman"/>
          <w:b w:val="0"/>
          <w:bCs/>
          <w:szCs w:val="21"/>
          <w:lang w:eastAsia="zh-CN"/>
        </w:rPr>
        <w:t>化验室</w:t>
      </w:r>
      <w:r>
        <w:rPr>
          <w:rFonts w:hint="default" w:ascii="Times New Roman" w:hAnsi="Times New Roman" w:cs="Times New Roman"/>
          <w:b w:val="0"/>
          <w:bCs/>
          <w:szCs w:val="21"/>
        </w:rPr>
        <w:t>检验</w:t>
      </w:r>
      <w:r>
        <w:rPr>
          <w:rFonts w:hint="eastAsia" w:ascii="Times New Roman" w:hAnsi="Times New Roman" w:cs="Times New Roman"/>
          <w:b w:val="0"/>
          <w:bCs/>
          <w:szCs w:val="21"/>
          <w:lang w:eastAsia="zh-CN"/>
        </w:rPr>
        <w:t>凉粉草含胶量</w:t>
      </w:r>
      <w:r>
        <w:rPr>
          <w:rFonts w:hint="default" w:ascii="Times New Roman" w:hAnsi="Times New Roman" w:cs="Times New Roman"/>
          <w:b w:val="0"/>
          <w:bCs/>
          <w:szCs w:val="21"/>
        </w:rPr>
        <w:t>后，需</w:t>
      </w:r>
      <w:r>
        <w:rPr>
          <w:rFonts w:hint="eastAsia" w:ascii="Times New Roman" w:hAnsi="Times New Roman" w:cs="Times New Roman"/>
          <w:b w:val="0"/>
          <w:bCs/>
          <w:szCs w:val="21"/>
          <w:lang w:eastAsia="zh-CN"/>
        </w:rPr>
        <w:t>按凉粉草用途</w:t>
      </w:r>
      <w:r>
        <w:rPr>
          <w:rFonts w:hint="default" w:ascii="Times New Roman" w:hAnsi="Times New Roman" w:cs="Times New Roman"/>
          <w:b w:val="0"/>
          <w:bCs/>
          <w:szCs w:val="21"/>
        </w:rPr>
        <w:t>进行中试检验。</w:t>
      </w:r>
    </w:p>
    <w:p w14:paraId="65DEE803">
      <w:pPr>
        <w:numPr>
          <w:ilvl w:val="0"/>
          <w:numId w:val="0"/>
        </w:numPr>
        <w:snapToGrid w:val="0"/>
        <w:spacing w:line="360" w:lineRule="auto"/>
        <w:rPr>
          <w:rFonts w:hint="default" w:ascii="Times New Roman" w:hAnsi="Times New Roman" w:cs="Times New Roman"/>
          <w:b w:val="0"/>
          <w:bCs/>
          <w:color w:val="auto"/>
          <w:szCs w:val="21"/>
          <w:highlight w:val="none"/>
        </w:rPr>
      </w:pPr>
      <w:r>
        <w:rPr>
          <w:rFonts w:hint="default" w:ascii="Times New Roman" w:hAnsi="Times New Roman" w:cs="Times New Roman"/>
          <w:b w:val="0"/>
          <w:bCs/>
          <w:szCs w:val="21"/>
        </w:rPr>
        <w:t xml:space="preserve"> </w:t>
      </w:r>
      <w:r>
        <w:rPr>
          <w:rFonts w:hint="eastAsia" w:ascii="Times New Roman" w:hAnsi="Times New Roman" w:cs="Times New Roman"/>
          <w:b w:val="0"/>
          <w:bCs/>
          <w:szCs w:val="21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 w:val="0"/>
          <w:bCs/>
          <w:szCs w:val="21"/>
        </w:rPr>
        <w:t>(</w:t>
      </w:r>
      <w:r>
        <w:rPr>
          <w:rFonts w:hint="eastAsia" w:ascii="Times New Roman" w:hAnsi="Times New Roman" w:cs="Times New Roman"/>
          <w:b w:val="0"/>
          <w:bCs/>
          <w:szCs w:val="21"/>
          <w:lang w:val="en-US" w:eastAsia="zh-CN"/>
        </w:rPr>
        <w:t>1</w:t>
      </w:r>
      <w:r>
        <w:rPr>
          <w:rFonts w:hint="default" w:ascii="Times New Roman" w:hAnsi="Times New Roman" w:cs="Times New Roman"/>
          <w:b w:val="0"/>
          <w:bCs/>
          <w:szCs w:val="21"/>
        </w:rPr>
        <w:t>)</w:t>
      </w:r>
      <w:r>
        <w:rPr>
          <w:rFonts w:hint="eastAsia" w:ascii="Times New Roman" w:hAnsi="Times New Roman" w:cs="Times New Roman"/>
          <w:b w:val="0"/>
          <w:bCs/>
          <w:szCs w:val="21"/>
          <w:lang w:eastAsia="zh-CN"/>
        </w:rPr>
        <w:t>用途为凉粉的</w:t>
      </w:r>
      <w:r>
        <w:rPr>
          <w:rFonts w:hint="eastAsia" w:ascii="Times New Roman" w:hAnsi="Times New Roman" w:cs="Times New Roman"/>
          <w:b w:val="0"/>
          <w:bCs/>
          <w:color w:val="auto"/>
          <w:szCs w:val="21"/>
          <w:lang w:eastAsia="zh-CN"/>
        </w:rPr>
        <w:t>凉粉草</w:t>
      </w:r>
      <w:r>
        <w:rPr>
          <w:rFonts w:hint="eastAsia" w:cs="Times New Roman"/>
          <w:b w:val="0"/>
          <w:bCs/>
          <w:color w:val="auto"/>
          <w:szCs w:val="21"/>
          <w:highlight w:val="none"/>
          <w:lang w:eastAsia="zh-CN"/>
        </w:rPr>
        <w:t>，</w:t>
      </w:r>
      <w:r>
        <w:rPr>
          <w:rFonts w:hint="eastAsia" w:ascii="Times New Roman" w:hAnsi="Times New Roman" w:cs="Times New Roman"/>
          <w:b w:val="0"/>
          <w:bCs/>
          <w:color w:val="auto"/>
          <w:szCs w:val="21"/>
          <w:highlight w:val="none"/>
          <w:lang w:eastAsia="zh-CN"/>
        </w:rPr>
        <w:t>含胶量≥</w:t>
      </w:r>
      <w:r>
        <w:rPr>
          <w:rFonts w:hint="eastAsia" w:ascii="Times New Roman" w:hAnsi="Times New Roman" w:cs="Times New Roman"/>
          <w:b w:val="0"/>
          <w:bCs/>
          <w:color w:val="auto"/>
          <w:szCs w:val="21"/>
          <w:highlight w:val="none"/>
          <w:lang w:val="en-US" w:eastAsia="zh-CN"/>
        </w:rPr>
        <w:t>1.25</w:t>
      </w:r>
      <w:r>
        <w:rPr>
          <w:rFonts w:hint="eastAsia" w:cs="Times New Roman"/>
          <w:b w:val="0"/>
          <w:bCs/>
          <w:color w:val="auto"/>
          <w:szCs w:val="21"/>
          <w:highlight w:val="none"/>
          <w:lang w:eastAsia="zh-CN"/>
        </w:rPr>
        <w:t>的</w:t>
      </w:r>
      <w:r>
        <w:rPr>
          <w:rFonts w:hint="eastAsia" w:ascii="Times New Roman" w:hAnsi="Times New Roman" w:cs="Times New Roman"/>
          <w:b w:val="0"/>
          <w:bCs/>
          <w:color w:val="auto"/>
          <w:szCs w:val="21"/>
          <w:highlight w:val="none"/>
          <w:lang w:eastAsia="zh-CN"/>
        </w:rPr>
        <w:t>，按以下内容检验和判定：</w:t>
      </w:r>
      <w:r>
        <w:rPr>
          <w:rFonts w:hint="default" w:ascii="Times New Roman" w:hAnsi="Times New Roman" w:cs="Times New Roman"/>
          <w:b w:val="0"/>
          <w:bCs/>
          <w:color w:val="auto"/>
          <w:szCs w:val="21"/>
          <w:highlight w:val="none"/>
        </w:rPr>
        <w:t>每批（≤25吨）取3.5～7吨到凉粉代加工企业生产凉粉，按1吨凉粉草配1吨淀粉（淀粉的配比按我司提供要求执行）的比例生产，生产出凉粉达到25倍（及以上）且产量1.1吨（及以上），判为合格。</w:t>
      </w:r>
    </w:p>
    <w:p w14:paraId="62C8CC1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Theme="minorEastAsia" w:hAnsiTheme="minorEastAsia" w:cstheme="minorEastAsia"/>
          <w:b w:val="0"/>
          <w:bCs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b w:val="0"/>
          <w:bCs/>
          <w:color w:val="auto"/>
          <w:szCs w:val="21"/>
          <w:highlight w:val="none"/>
        </w:rPr>
        <w:t xml:space="preserve"> </w:t>
      </w:r>
      <w:r>
        <w:rPr>
          <w:rFonts w:hint="eastAsia" w:ascii="Times New Roman" w:hAnsi="Times New Roman" w:cs="Times New Roman"/>
          <w:b w:val="0"/>
          <w:bCs/>
          <w:color w:val="auto"/>
          <w:szCs w:val="21"/>
          <w:highlight w:val="non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 w:val="0"/>
          <w:bCs/>
          <w:color w:val="auto"/>
          <w:szCs w:val="21"/>
          <w:highlight w:val="none"/>
        </w:rPr>
        <w:t>(</w:t>
      </w:r>
      <w:r>
        <w:rPr>
          <w:rFonts w:hint="eastAsia" w:ascii="Times New Roman" w:hAnsi="Times New Roman" w:cs="Times New Roman"/>
          <w:b w:val="0"/>
          <w:bCs/>
          <w:color w:val="auto"/>
          <w:szCs w:val="21"/>
          <w:highlight w:val="none"/>
          <w:lang w:val="en-US" w:eastAsia="zh-CN"/>
        </w:rPr>
        <w:t>2</w:t>
      </w:r>
      <w:r>
        <w:rPr>
          <w:rFonts w:hint="default" w:ascii="Times New Roman" w:hAnsi="Times New Roman" w:cs="Times New Roman"/>
          <w:b w:val="0"/>
          <w:bCs/>
          <w:color w:val="auto"/>
          <w:szCs w:val="21"/>
          <w:highlight w:val="none"/>
        </w:rPr>
        <w:t>)</w:t>
      </w:r>
      <w:r>
        <w:rPr>
          <w:rFonts w:hint="eastAsia" w:ascii="Times New Roman" w:hAnsi="Times New Roman" w:cs="Times New Roman"/>
          <w:b w:val="0"/>
          <w:bCs/>
          <w:color w:val="auto"/>
          <w:szCs w:val="21"/>
          <w:highlight w:val="none"/>
          <w:lang w:eastAsia="zh-CN"/>
        </w:rPr>
        <w:t>用途为凉粉草提取液的凉粉草</w:t>
      </w:r>
      <w:r>
        <w:rPr>
          <w:rFonts w:hint="eastAsia" w:cs="Times New Roman"/>
          <w:b w:val="0"/>
          <w:bCs/>
          <w:color w:val="auto"/>
          <w:szCs w:val="21"/>
          <w:highlight w:val="none"/>
          <w:lang w:eastAsia="zh-CN"/>
        </w:rPr>
        <w:t>，</w:t>
      </w:r>
      <w:r>
        <w:rPr>
          <w:rFonts w:hint="eastAsia" w:ascii="Times New Roman" w:hAnsi="Times New Roman" w:cs="Times New Roman"/>
          <w:b w:val="0"/>
          <w:bCs/>
          <w:color w:val="auto"/>
          <w:szCs w:val="21"/>
          <w:highlight w:val="none"/>
          <w:lang w:eastAsia="zh-CN"/>
        </w:rPr>
        <w:t>含胶量≥</w:t>
      </w:r>
      <w:r>
        <w:rPr>
          <w:rFonts w:hint="eastAsia" w:ascii="Times New Roman" w:hAnsi="Times New Roman" w:cs="Times New Roman"/>
          <w:b w:val="0"/>
          <w:bCs/>
          <w:color w:val="auto"/>
          <w:szCs w:val="21"/>
          <w:highlight w:val="none"/>
          <w:lang w:val="en-US" w:eastAsia="zh-CN"/>
        </w:rPr>
        <w:t>1</w:t>
      </w:r>
      <w:r>
        <w:rPr>
          <w:rFonts w:hint="eastAsia" w:cs="Times New Roman"/>
          <w:b w:val="0"/>
          <w:bCs/>
          <w:color w:val="auto"/>
          <w:szCs w:val="21"/>
          <w:highlight w:val="none"/>
          <w:lang w:eastAsia="zh-CN"/>
        </w:rPr>
        <w:t>的</w:t>
      </w:r>
      <w:r>
        <w:rPr>
          <w:rFonts w:hint="eastAsia" w:ascii="Times New Roman" w:hAnsi="Times New Roman" w:cs="Times New Roman"/>
          <w:b w:val="0"/>
          <w:bCs/>
          <w:color w:val="auto"/>
          <w:szCs w:val="21"/>
          <w:highlight w:val="none"/>
          <w:lang w:eastAsia="zh-CN"/>
        </w:rPr>
        <w:t>，按以下内容检验和判定</w:t>
      </w:r>
      <w:r>
        <w:rPr>
          <w:rFonts w:hint="default" w:ascii="Times New Roman" w:hAnsi="Times New Roman" w:cs="Times New Roman"/>
          <w:b w:val="0"/>
          <w:bCs/>
          <w:color w:val="auto"/>
          <w:szCs w:val="21"/>
          <w:highlight w:val="none"/>
        </w:rPr>
        <w:t>。每批（≤25吨）取</w:t>
      </w:r>
      <w:r>
        <w:rPr>
          <w:rFonts w:hint="eastAsia" w:ascii="Times New Roman" w:hAnsi="Times New Roman" w:cs="Times New Roman"/>
          <w:b w:val="0"/>
          <w:bCs/>
          <w:color w:val="auto"/>
          <w:szCs w:val="21"/>
          <w:highlight w:val="none"/>
          <w:lang w:val="en-US" w:eastAsia="zh-CN"/>
        </w:rPr>
        <w:t>250~500公斤</w:t>
      </w:r>
      <w:r>
        <w:rPr>
          <w:rFonts w:hint="default" w:ascii="Times New Roman" w:hAnsi="Times New Roman" w:cs="Times New Roman"/>
          <w:b w:val="0"/>
          <w:bCs/>
          <w:color w:val="auto"/>
          <w:szCs w:val="21"/>
          <w:highlight w:val="none"/>
        </w:rPr>
        <w:t>到</w:t>
      </w:r>
      <w:r>
        <w:rPr>
          <w:rFonts w:hint="eastAsia" w:ascii="Times New Roman" w:hAnsi="Times New Roman" w:cs="Times New Roman"/>
          <w:b w:val="0"/>
          <w:bCs/>
          <w:color w:val="auto"/>
          <w:szCs w:val="21"/>
          <w:highlight w:val="none"/>
          <w:lang w:eastAsia="zh-CN"/>
        </w:rPr>
        <w:t>提取车间进行提取</w:t>
      </w:r>
      <w:r>
        <w:rPr>
          <w:rFonts w:hint="default" w:ascii="Times New Roman" w:hAnsi="Times New Roman" w:cs="Times New Roman"/>
          <w:b w:val="0"/>
          <w:bCs/>
          <w:color w:val="auto"/>
          <w:szCs w:val="21"/>
          <w:highlight w:val="none"/>
        </w:rPr>
        <w:t>，</w:t>
      </w:r>
      <w:r>
        <w:rPr>
          <w:rFonts w:hint="eastAsia" w:ascii="Times New Roman" w:hAnsi="Times New Roman" w:cs="Times New Roman"/>
          <w:b w:val="0"/>
          <w:bCs/>
          <w:color w:val="auto"/>
          <w:szCs w:val="21"/>
          <w:highlight w:val="none"/>
          <w:lang w:eastAsia="zh-CN"/>
        </w:rPr>
        <w:t>提取好的凉粉草提取液含胶量达到</w:t>
      </w:r>
      <w:r>
        <w:rPr>
          <w:rFonts w:hint="eastAsia" w:ascii="Times New Roman" w:hAnsi="Times New Roman" w:cs="Times New Roman"/>
          <w:b w:val="0"/>
          <w:bCs/>
          <w:color w:val="auto"/>
          <w:szCs w:val="21"/>
          <w:highlight w:val="none"/>
          <w:lang w:val="en-US" w:eastAsia="zh-CN"/>
        </w:rPr>
        <w:t>1.25</w:t>
      </w:r>
      <w:r>
        <w:rPr>
          <w:rFonts w:hint="default" w:ascii="Times New Roman" w:hAnsi="Times New Roman" w:cs="Times New Roman"/>
          <w:b w:val="0"/>
          <w:bCs/>
          <w:color w:val="auto"/>
          <w:szCs w:val="21"/>
          <w:highlight w:val="none"/>
        </w:rPr>
        <w:t>（及以上），判为合格</w:t>
      </w:r>
      <w:r>
        <w:rPr>
          <w:rFonts w:hint="eastAsia" w:ascii="Times New Roman" w:hAnsi="Times New Roman" w:cs="Times New Roman"/>
          <w:b w:val="0"/>
          <w:bCs/>
          <w:color w:val="auto"/>
          <w:szCs w:val="21"/>
          <w:highlight w:val="none"/>
          <w:lang w:eastAsia="zh-CN"/>
        </w:rPr>
        <w:t>。</w:t>
      </w:r>
    </w:p>
    <w:sectPr>
      <w:pgSz w:w="11906" w:h="16838"/>
      <w:pgMar w:top="1440" w:right="1077" w:bottom="1440" w:left="1077" w:header="851" w:footer="992" w:gutter="0"/>
      <w:cols w:space="0" w:num="1"/>
      <w:rtlGutter w:val="0"/>
      <w:docGrid w:type="linesAndChars" w:linePitch="312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6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16A2B"/>
    <w:rsid w:val="00051822"/>
    <w:rsid w:val="000568BE"/>
    <w:rsid w:val="000766F9"/>
    <w:rsid w:val="00076BA0"/>
    <w:rsid w:val="000A4016"/>
    <w:rsid w:val="000F74DC"/>
    <w:rsid w:val="00104D38"/>
    <w:rsid w:val="001200CC"/>
    <w:rsid w:val="00122A68"/>
    <w:rsid w:val="0012717B"/>
    <w:rsid w:val="001276D9"/>
    <w:rsid w:val="001434A6"/>
    <w:rsid w:val="00170A0D"/>
    <w:rsid w:val="001A5F8D"/>
    <w:rsid w:val="001B4E14"/>
    <w:rsid w:val="001C7564"/>
    <w:rsid w:val="002030CB"/>
    <w:rsid w:val="00204DE6"/>
    <w:rsid w:val="002065DF"/>
    <w:rsid w:val="00210CD6"/>
    <w:rsid w:val="00216AB5"/>
    <w:rsid w:val="00217C57"/>
    <w:rsid w:val="00245C1C"/>
    <w:rsid w:val="00247790"/>
    <w:rsid w:val="00251187"/>
    <w:rsid w:val="00256873"/>
    <w:rsid w:val="002675BE"/>
    <w:rsid w:val="002C0A8A"/>
    <w:rsid w:val="002C23B8"/>
    <w:rsid w:val="002D381E"/>
    <w:rsid w:val="00313992"/>
    <w:rsid w:val="00326AD4"/>
    <w:rsid w:val="0034312F"/>
    <w:rsid w:val="00382F86"/>
    <w:rsid w:val="003D74F2"/>
    <w:rsid w:val="003E25AA"/>
    <w:rsid w:val="003F00E8"/>
    <w:rsid w:val="003F0D6F"/>
    <w:rsid w:val="003F12F7"/>
    <w:rsid w:val="004014F3"/>
    <w:rsid w:val="004147E7"/>
    <w:rsid w:val="00421DC6"/>
    <w:rsid w:val="0042525E"/>
    <w:rsid w:val="00461F80"/>
    <w:rsid w:val="00487E2E"/>
    <w:rsid w:val="004F591C"/>
    <w:rsid w:val="00511958"/>
    <w:rsid w:val="00514A71"/>
    <w:rsid w:val="00516A2B"/>
    <w:rsid w:val="00517EE3"/>
    <w:rsid w:val="00520B4B"/>
    <w:rsid w:val="005319C7"/>
    <w:rsid w:val="00543E43"/>
    <w:rsid w:val="005C7D8B"/>
    <w:rsid w:val="005E1532"/>
    <w:rsid w:val="005F037B"/>
    <w:rsid w:val="00603E02"/>
    <w:rsid w:val="00615BFD"/>
    <w:rsid w:val="00620DFD"/>
    <w:rsid w:val="00643C68"/>
    <w:rsid w:val="00643F4C"/>
    <w:rsid w:val="00646B3D"/>
    <w:rsid w:val="006531D9"/>
    <w:rsid w:val="006A5CF6"/>
    <w:rsid w:val="006C6AD2"/>
    <w:rsid w:val="006D0702"/>
    <w:rsid w:val="006D6D24"/>
    <w:rsid w:val="006F55E5"/>
    <w:rsid w:val="006F5EBC"/>
    <w:rsid w:val="00721A90"/>
    <w:rsid w:val="00737344"/>
    <w:rsid w:val="00765874"/>
    <w:rsid w:val="0076735E"/>
    <w:rsid w:val="00771FCF"/>
    <w:rsid w:val="00775983"/>
    <w:rsid w:val="007762E6"/>
    <w:rsid w:val="00783AC2"/>
    <w:rsid w:val="007B09FB"/>
    <w:rsid w:val="007C7621"/>
    <w:rsid w:val="007D6F00"/>
    <w:rsid w:val="00841696"/>
    <w:rsid w:val="00861294"/>
    <w:rsid w:val="008822C1"/>
    <w:rsid w:val="00884968"/>
    <w:rsid w:val="008D32AA"/>
    <w:rsid w:val="008D7630"/>
    <w:rsid w:val="008E6434"/>
    <w:rsid w:val="008F1617"/>
    <w:rsid w:val="008F2E62"/>
    <w:rsid w:val="008F7D2C"/>
    <w:rsid w:val="00917CBB"/>
    <w:rsid w:val="0092479B"/>
    <w:rsid w:val="009352BD"/>
    <w:rsid w:val="009477FB"/>
    <w:rsid w:val="00992C47"/>
    <w:rsid w:val="009943BE"/>
    <w:rsid w:val="009A0FF7"/>
    <w:rsid w:val="009D2C8F"/>
    <w:rsid w:val="00A22A14"/>
    <w:rsid w:val="00A53560"/>
    <w:rsid w:val="00A63B52"/>
    <w:rsid w:val="00A82AFB"/>
    <w:rsid w:val="00A95418"/>
    <w:rsid w:val="00AB1250"/>
    <w:rsid w:val="00AD4BB7"/>
    <w:rsid w:val="00AD71F8"/>
    <w:rsid w:val="00AF65BC"/>
    <w:rsid w:val="00B2042A"/>
    <w:rsid w:val="00B369F3"/>
    <w:rsid w:val="00B4027C"/>
    <w:rsid w:val="00B402CA"/>
    <w:rsid w:val="00B511B3"/>
    <w:rsid w:val="00B52023"/>
    <w:rsid w:val="00B66EBF"/>
    <w:rsid w:val="00B80A4A"/>
    <w:rsid w:val="00B80BBD"/>
    <w:rsid w:val="00B96860"/>
    <w:rsid w:val="00B96CE8"/>
    <w:rsid w:val="00BB0E84"/>
    <w:rsid w:val="00BD29DD"/>
    <w:rsid w:val="00BF159C"/>
    <w:rsid w:val="00BF28DD"/>
    <w:rsid w:val="00C02545"/>
    <w:rsid w:val="00C07170"/>
    <w:rsid w:val="00C2019B"/>
    <w:rsid w:val="00C20D26"/>
    <w:rsid w:val="00C54EA1"/>
    <w:rsid w:val="00C622B1"/>
    <w:rsid w:val="00C706D2"/>
    <w:rsid w:val="00C71091"/>
    <w:rsid w:val="00C756CF"/>
    <w:rsid w:val="00C8113F"/>
    <w:rsid w:val="00C86DDB"/>
    <w:rsid w:val="00CA0125"/>
    <w:rsid w:val="00CA7D73"/>
    <w:rsid w:val="00CB6FE8"/>
    <w:rsid w:val="00CC100E"/>
    <w:rsid w:val="00CD349A"/>
    <w:rsid w:val="00CD4F5B"/>
    <w:rsid w:val="00CE2E65"/>
    <w:rsid w:val="00CF7DF6"/>
    <w:rsid w:val="00D0009A"/>
    <w:rsid w:val="00D03026"/>
    <w:rsid w:val="00D2270E"/>
    <w:rsid w:val="00D30867"/>
    <w:rsid w:val="00D34AA0"/>
    <w:rsid w:val="00D35D7A"/>
    <w:rsid w:val="00D45BE9"/>
    <w:rsid w:val="00D51327"/>
    <w:rsid w:val="00D612D7"/>
    <w:rsid w:val="00D64A46"/>
    <w:rsid w:val="00DA2316"/>
    <w:rsid w:val="00DA4A4C"/>
    <w:rsid w:val="00DB1A59"/>
    <w:rsid w:val="00DB488A"/>
    <w:rsid w:val="00DC76D8"/>
    <w:rsid w:val="00DD700D"/>
    <w:rsid w:val="00DF02A3"/>
    <w:rsid w:val="00E70DAA"/>
    <w:rsid w:val="00E75ABC"/>
    <w:rsid w:val="00EC0F77"/>
    <w:rsid w:val="00ED4B4A"/>
    <w:rsid w:val="00F14AEA"/>
    <w:rsid w:val="00F21E84"/>
    <w:rsid w:val="00F3700B"/>
    <w:rsid w:val="00F9415E"/>
    <w:rsid w:val="00F96285"/>
    <w:rsid w:val="00FB7C05"/>
    <w:rsid w:val="00FE230C"/>
    <w:rsid w:val="014F6641"/>
    <w:rsid w:val="01B42948"/>
    <w:rsid w:val="02101D97"/>
    <w:rsid w:val="021533E7"/>
    <w:rsid w:val="025A529E"/>
    <w:rsid w:val="025F4647"/>
    <w:rsid w:val="025F4662"/>
    <w:rsid w:val="02A8425B"/>
    <w:rsid w:val="049249D3"/>
    <w:rsid w:val="05EA4B8A"/>
    <w:rsid w:val="0786416F"/>
    <w:rsid w:val="07AB0349"/>
    <w:rsid w:val="07D433FC"/>
    <w:rsid w:val="081B1207"/>
    <w:rsid w:val="08702AE1"/>
    <w:rsid w:val="0A1F29F8"/>
    <w:rsid w:val="0ACC4517"/>
    <w:rsid w:val="0B293A5F"/>
    <w:rsid w:val="0B740A4F"/>
    <w:rsid w:val="0B9B3543"/>
    <w:rsid w:val="0C3E3331"/>
    <w:rsid w:val="0C8B43DF"/>
    <w:rsid w:val="0CDA1F1B"/>
    <w:rsid w:val="0D815DD4"/>
    <w:rsid w:val="0E813BB2"/>
    <w:rsid w:val="0ED10695"/>
    <w:rsid w:val="0F227315"/>
    <w:rsid w:val="0F42107C"/>
    <w:rsid w:val="0FE62B43"/>
    <w:rsid w:val="10127583"/>
    <w:rsid w:val="10B92613"/>
    <w:rsid w:val="10E87F18"/>
    <w:rsid w:val="11524841"/>
    <w:rsid w:val="115E16FD"/>
    <w:rsid w:val="117A320E"/>
    <w:rsid w:val="11B147AE"/>
    <w:rsid w:val="11B7434A"/>
    <w:rsid w:val="123233C7"/>
    <w:rsid w:val="12BB6336"/>
    <w:rsid w:val="156F0C08"/>
    <w:rsid w:val="161644D5"/>
    <w:rsid w:val="16472730"/>
    <w:rsid w:val="164D5521"/>
    <w:rsid w:val="168406E3"/>
    <w:rsid w:val="16970417"/>
    <w:rsid w:val="16CE183A"/>
    <w:rsid w:val="17237EFC"/>
    <w:rsid w:val="181978EC"/>
    <w:rsid w:val="18455F45"/>
    <w:rsid w:val="19566367"/>
    <w:rsid w:val="1981715C"/>
    <w:rsid w:val="198B4533"/>
    <w:rsid w:val="1A816D83"/>
    <w:rsid w:val="1AEB65BB"/>
    <w:rsid w:val="1B2D3AD3"/>
    <w:rsid w:val="1B3530C3"/>
    <w:rsid w:val="1B607A85"/>
    <w:rsid w:val="1C940F54"/>
    <w:rsid w:val="1D331755"/>
    <w:rsid w:val="1D632E00"/>
    <w:rsid w:val="1E036392"/>
    <w:rsid w:val="1EC2624D"/>
    <w:rsid w:val="1FBB3768"/>
    <w:rsid w:val="203C5B8B"/>
    <w:rsid w:val="20960E59"/>
    <w:rsid w:val="20B5279E"/>
    <w:rsid w:val="21C97934"/>
    <w:rsid w:val="21E74F56"/>
    <w:rsid w:val="231F4BD6"/>
    <w:rsid w:val="23D96E57"/>
    <w:rsid w:val="25714529"/>
    <w:rsid w:val="262C03D7"/>
    <w:rsid w:val="269174F8"/>
    <w:rsid w:val="27A456AC"/>
    <w:rsid w:val="284877C3"/>
    <w:rsid w:val="2888016E"/>
    <w:rsid w:val="288F13B5"/>
    <w:rsid w:val="293154CF"/>
    <w:rsid w:val="2939710B"/>
    <w:rsid w:val="2A1A518F"/>
    <w:rsid w:val="2A1A6F3D"/>
    <w:rsid w:val="2A202079"/>
    <w:rsid w:val="2A290225"/>
    <w:rsid w:val="2A3A5682"/>
    <w:rsid w:val="2AE16C55"/>
    <w:rsid w:val="2AEF3F25"/>
    <w:rsid w:val="2AFD3415"/>
    <w:rsid w:val="2B3B716B"/>
    <w:rsid w:val="2B8F74B6"/>
    <w:rsid w:val="2C352914"/>
    <w:rsid w:val="2CEF50C3"/>
    <w:rsid w:val="2D350330"/>
    <w:rsid w:val="2D8F7C42"/>
    <w:rsid w:val="2E444588"/>
    <w:rsid w:val="2E627104"/>
    <w:rsid w:val="2E7035CF"/>
    <w:rsid w:val="2EC21951"/>
    <w:rsid w:val="2ED75FAA"/>
    <w:rsid w:val="2F6824F8"/>
    <w:rsid w:val="30BD1CA4"/>
    <w:rsid w:val="31E16592"/>
    <w:rsid w:val="32340DB8"/>
    <w:rsid w:val="323B2146"/>
    <w:rsid w:val="334D0D84"/>
    <w:rsid w:val="33947D60"/>
    <w:rsid w:val="33D71500"/>
    <w:rsid w:val="34542D73"/>
    <w:rsid w:val="36546B7B"/>
    <w:rsid w:val="36DE651B"/>
    <w:rsid w:val="37384EA6"/>
    <w:rsid w:val="37673761"/>
    <w:rsid w:val="37B179A1"/>
    <w:rsid w:val="3801173C"/>
    <w:rsid w:val="3821752F"/>
    <w:rsid w:val="38A00F55"/>
    <w:rsid w:val="397D15D9"/>
    <w:rsid w:val="399C796E"/>
    <w:rsid w:val="3AB605BC"/>
    <w:rsid w:val="3AFE01B5"/>
    <w:rsid w:val="3B9F72A2"/>
    <w:rsid w:val="3BEB1F0B"/>
    <w:rsid w:val="3C85293C"/>
    <w:rsid w:val="3CB00FF0"/>
    <w:rsid w:val="3CF4361D"/>
    <w:rsid w:val="3D983F5B"/>
    <w:rsid w:val="3DC6320C"/>
    <w:rsid w:val="3DE418E4"/>
    <w:rsid w:val="3E95498C"/>
    <w:rsid w:val="3EFE69D5"/>
    <w:rsid w:val="41242A94"/>
    <w:rsid w:val="413E130B"/>
    <w:rsid w:val="419743BC"/>
    <w:rsid w:val="41DB10A7"/>
    <w:rsid w:val="43971389"/>
    <w:rsid w:val="44077DFB"/>
    <w:rsid w:val="453E5D7D"/>
    <w:rsid w:val="46244F73"/>
    <w:rsid w:val="46693659"/>
    <w:rsid w:val="4760647F"/>
    <w:rsid w:val="47615070"/>
    <w:rsid w:val="47833F1C"/>
    <w:rsid w:val="48117779"/>
    <w:rsid w:val="49157A48"/>
    <w:rsid w:val="4A161077"/>
    <w:rsid w:val="4B201A81"/>
    <w:rsid w:val="4BC83E1E"/>
    <w:rsid w:val="4C7D53DD"/>
    <w:rsid w:val="4C8A14ED"/>
    <w:rsid w:val="4CE1773D"/>
    <w:rsid w:val="4CF12C5B"/>
    <w:rsid w:val="4D6B3488"/>
    <w:rsid w:val="4E2D4BE1"/>
    <w:rsid w:val="4EE2124F"/>
    <w:rsid w:val="4EF61477"/>
    <w:rsid w:val="4FD5108C"/>
    <w:rsid w:val="50454464"/>
    <w:rsid w:val="51165E99"/>
    <w:rsid w:val="51256043"/>
    <w:rsid w:val="528B4EC4"/>
    <w:rsid w:val="52A55253"/>
    <w:rsid w:val="53340A2B"/>
    <w:rsid w:val="53513120"/>
    <w:rsid w:val="53663191"/>
    <w:rsid w:val="53E75832"/>
    <w:rsid w:val="545446F7"/>
    <w:rsid w:val="54684BC5"/>
    <w:rsid w:val="55F66959"/>
    <w:rsid w:val="59645452"/>
    <w:rsid w:val="599B6EA3"/>
    <w:rsid w:val="59AD6BD6"/>
    <w:rsid w:val="5A1E1882"/>
    <w:rsid w:val="5A2354B2"/>
    <w:rsid w:val="5B276543"/>
    <w:rsid w:val="5B920298"/>
    <w:rsid w:val="5BFE7BBD"/>
    <w:rsid w:val="5C78796F"/>
    <w:rsid w:val="5C806824"/>
    <w:rsid w:val="5CE17403"/>
    <w:rsid w:val="5E8053D8"/>
    <w:rsid w:val="5EC944B2"/>
    <w:rsid w:val="5EFA28BD"/>
    <w:rsid w:val="5FEA46E0"/>
    <w:rsid w:val="5FF27C2E"/>
    <w:rsid w:val="5FFE4642"/>
    <w:rsid w:val="60BC20C6"/>
    <w:rsid w:val="60DA0BF8"/>
    <w:rsid w:val="60E77977"/>
    <w:rsid w:val="60F31E9A"/>
    <w:rsid w:val="614E1D6B"/>
    <w:rsid w:val="61A03B78"/>
    <w:rsid w:val="61C15914"/>
    <w:rsid w:val="62D358FF"/>
    <w:rsid w:val="631167A4"/>
    <w:rsid w:val="632E50D0"/>
    <w:rsid w:val="63586B2E"/>
    <w:rsid w:val="637864A7"/>
    <w:rsid w:val="643028DD"/>
    <w:rsid w:val="64803865"/>
    <w:rsid w:val="650F6DC7"/>
    <w:rsid w:val="65CF4B34"/>
    <w:rsid w:val="65EF7CFD"/>
    <w:rsid w:val="66F978FF"/>
    <w:rsid w:val="672638A0"/>
    <w:rsid w:val="680D0E02"/>
    <w:rsid w:val="687436E1"/>
    <w:rsid w:val="68E26CC7"/>
    <w:rsid w:val="69076303"/>
    <w:rsid w:val="691C1682"/>
    <w:rsid w:val="692002DB"/>
    <w:rsid w:val="69C9180A"/>
    <w:rsid w:val="6CF0168B"/>
    <w:rsid w:val="6DFD068B"/>
    <w:rsid w:val="6E070B53"/>
    <w:rsid w:val="6E080F14"/>
    <w:rsid w:val="6E0D66EC"/>
    <w:rsid w:val="6E15082A"/>
    <w:rsid w:val="6FDD7DBD"/>
    <w:rsid w:val="6FF51DDE"/>
    <w:rsid w:val="70B36D70"/>
    <w:rsid w:val="713E2ADE"/>
    <w:rsid w:val="71BE59CD"/>
    <w:rsid w:val="71F92EA9"/>
    <w:rsid w:val="720C498A"/>
    <w:rsid w:val="723356E2"/>
    <w:rsid w:val="73156CE9"/>
    <w:rsid w:val="73177D3F"/>
    <w:rsid w:val="734E2D80"/>
    <w:rsid w:val="73C3551C"/>
    <w:rsid w:val="7423420D"/>
    <w:rsid w:val="745E6FF3"/>
    <w:rsid w:val="74B755CC"/>
    <w:rsid w:val="74C95E7D"/>
    <w:rsid w:val="75961905"/>
    <w:rsid w:val="77100A78"/>
    <w:rsid w:val="77E3618D"/>
    <w:rsid w:val="787E5CBE"/>
    <w:rsid w:val="78880AE2"/>
    <w:rsid w:val="792E168A"/>
    <w:rsid w:val="79B25E17"/>
    <w:rsid w:val="7AAD2A82"/>
    <w:rsid w:val="7B6A7535"/>
    <w:rsid w:val="7B931C78"/>
    <w:rsid w:val="7C1D1157"/>
    <w:rsid w:val="7C920C33"/>
    <w:rsid w:val="7C924FD9"/>
    <w:rsid w:val="7CF3220F"/>
    <w:rsid w:val="7D3345D4"/>
    <w:rsid w:val="7D690EE2"/>
    <w:rsid w:val="7DD02B9F"/>
    <w:rsid w:val="7EB81434"/>
    <w:rsid w:val="7F2B266D"/>
    <w:rsid w:val="7F3B68AE"/>
    <w:rsid w:val="7F923FF5"/>
    <w:rsid w:val="7F9B7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