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0"/>
        <w:jc w:val="center"/>
        <w:textAlignment w:val="auto"/>
        <w:outlineLvl w:val="9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44"/>
          <w:szCs w:val="44"/>
        </w:rPr>
        <w:t>广西</w:t>
      </w:r>
      <w:r>
        <w:rPr>
          <w:rFonts w:hint="eastAsia" w:cs="宋体"/>
          <w:color w:val="000000"/>
          <w:spacing w:val="0"/>
          <w:w w:val="100"/>
          <w:position w:val="0"/>
          <w:sz w:val="44"/>
          <w:szCs w:val="44"/>
          <w:lang w:eastAsia="zh-CN"/>
        </w:rPr>
        <w:t>中恒中药材产业发展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44"/>
          <w:szCs w:val="44"/>
        </w:rPr>
        <w:t>有限公司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0"/>
        <w:jc w:val="center"/>
        <w:textAlignment w:val="auto"/>
        <w:rPr>
          <w:rFonts w:hint="eastAsia" w:cs="宋体"/>
          <w:color w:val="000000"/>
          <w:spacing w:val="0"/>
          <w:w w:val="100"/>
          <w:position w:val="0"/>
          <w:sz w:val="44"/>
          <w:szCs w:val="44"/>
          <w:lang w:eastAsia="zh-CN"/>
        </w:rPr>
      </w:pPr>
      <w:r>
        <w:rPr>
          <w:rFonts w:hint="eastAsia" w:cs="宋体"/>
          <w:color w:val="000000"/>
          <w:spacing w:val="0"/>
          <w:w w:val="100"/>
          <w:position w:val="0"/>
          <w:sz w:val="44"/>
          <w:szCs w:val="44"/>
          <w:lang w:eastAsia="zh-CN"/>
        </w:rPr>
        <w:t>15-15-15氮磷钾经济林平衡肥公开询价公告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广西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中恒中药材产业发展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有限公司现拟定于2022年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日进行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15-15-15氮磷钾经济林复合肥公开询价采购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项目。现将具体事宜公告如下：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bookmarkStart w:id="0" w:name="bookmark0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一</w:t>
      </w:r>
      <w:bookmarkEnd w:id="0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、釆购项目概况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eastAsia="zh-Hans"/>
        </w:rPr>
        <w:t>（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一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eastAsia="zh-Hans"/>
        </w:rPr>
        <w:t>）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</w:rPr>
        <w:t>采购需求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2"/>
        <w:gridCol w:w="1431"/>
        <w:gridCol w:w="1430"/>
        <w:gridCol w:w="1548"/>
        <w:gridCol w:w="2101"/>
      </w:tblGrid>
      <w:tr>
        <w:trPr>
          <w:trHeight w:val="286" w:hRule="atLeast"/>
        </w:trPr>
        <w:tc>
          <w:tcPr>
            <w:tcW w:w="2432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产品名称</w:t>
            </w:r>
          </w:p>
        </w:tc>
        <w:tc>
          <w:tcPr>
            <w:tcW w:w="1431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规格</w:t>
            </w:r>
          </w:p>
        </w:tc>
        <w:tc>
          <w:tcPr>
            <w:tcW w:w="143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单位</w:t>
            </w:r>
          </w:p>
        </w:tc>
        <w:tc>
          <w:tcPr>
            <w:tcW w:w="1548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询价数量</w:t>
            </w:r>
          </w:p>
        </w:tc>
        <w:tc>
          <w:tcPr>
            <w:tcW w:w="2101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6" w:hRule="atLeast"/>
        </w:trPr>
        <w:tc>
          <w:tcPr>
            <w:tcW w:w="2432" w:type="dxa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15-15-15氮磷钾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经济林复合肥</w:t>
            </w:r>
          </w:p>
        </w:tc>
        <w:tc>
          <w:tcPr>
            <w:tcW w:w="1431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25</w:t>
            </w:r>
            <w:r>
              <w:rPr>
                <w:rFonts w:hint="default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kg/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包</w:t>
            </w:r>
          </w:p>
        </w:tc>
        <w:tc>
          <w:tcPr>
            <w:tcW w:w="143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吨</w:t>
            </w:r>
          </w:p>
        </w:tc>
        <w:tc>
          <w:tcPr>
            <w:tcW w:w="1548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115</w:t>
            </w:r>
          </w:p>
        </w:tc>
        <w:tc>
          <w:tcPr>
            <w:tcW w:w="2101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91"/>
              <w:jc w:val="center"/>
              <w:textAlignment w:val="auto"/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经济林复合肥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91"/>
              <w:jc w:val="center"/>
              <w:textAlignment w:val="auto"/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或桉树适用肥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91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（中、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低氯型）</w:t>
            </w:r>
          </w:p>
        </w:tc>
      </w:tr>
    </w:tbl>
    <w:p>
      <w:pPr>
        <w:pStyle w:val="16"/>
        <w:keepNext w:val="0"/>
        <w:keepLines w:val="0"/>
        <w:pageBreakBefore w:val="0"/>
        <w:widowControl w:val="0"/>
        <w:shd w:val="clear" w:color="auto" w:fill="auto"/>
        <w:tabs>
          <w:tab w:val="left" w:pos="25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eastAsia="zh-Hans"/>
        </w:rPr>
        <w:t>（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二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eastAsia="zh-Hans"/>
        </w:rPr>
        <w:t>）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</w:rPr>
        <w:t>质量要求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5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</w:pPr>
      <w:r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1.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产品应符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GB/T 15063复合肥料的规定要求，N-P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vertAlign w:val="subscript"/>
          <w:lang w:val="en-US" w:eastAsia="zh-CN" w:bidi="zh-TW"/>
        </w:rPr>
        <w:t>2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O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vertAlign w:val="subscript"/>
          <w:lang w:val="en-US" w:eastAsia="zh-CN" w:bidi="zh-TW"/>
        </w:rPr>
        <w:t>5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-K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vertAlign w:val="subscript"/>
          <w:lang w:val="en-US" w:eastAsia="zh-CN" w:bidi="zh-TW"/>
        </w:rPr>
        <w:t>2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O的含量均≧15，中、低氯基型。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5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2.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产品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应为适用于经济林复合肥或桉树适用肥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38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eastAsia="zh-Hans"/>
        </w:rPr>
        <w:t>（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三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eastAsia="zh-Hans"/>
        </w:rPr>
        <w:t>）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</w:rPr>
        <w:t>交货要求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合同签订后，按询价方实际到货要求，分批送货至询价方指定的仓库地点（广西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中恒中药材产业发展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有限公司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藤县基地仓库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）。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3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eastAsia="zh-Hans"/>
        </w:rPr>
        <w:t>（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四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eastAsia="zh-Hans"/>
        </w:rPr>
        <w:t>）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</w:rPr>
        <w:t>付款方式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合同签订后，卖方按需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方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分批供货，待验收合格后，卖方向买方提供符合买方要求的全额合规增值税发票，买方凭票30天内支付已开票货款。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3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eastAsia="zh-Hans"/>
        </w:rPr>
        <w:t>（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五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eastAsia="zh-Hans"/>
        </w:rPr>
        <w:t>）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</w:rPr>
        <w:t>本釆购项目遵循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“综合</w:t>
      </w:r>
      <w:r>
        <w:rPr>
          <w:rFonts w:hint="eastAsia" w:ascii="楷体" w:hAnsi="楷体" w:eastAsia="楷体" w:cs="楷体"/>
          <w:color w:val="000000"/>
          <w:spacing w:val="0"/>
          <w:w w:val="100"/>
          <w:position w:val="0"/>
          <w:sz w:val="32"/>
          <w:szCs w:val="32"/>
        </w:rPr>
        <w:t>得分最高法”原则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Hans"/>
        </w:rPr>
        <w:t>【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商务分（资质）（5分）+技术分（20分）+价格分（75分）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Hans"/>
        </w:rPr>
        <w:t>】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43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二、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报价方需具备的资质及要求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3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Hans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一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Hans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报价方须具备相关生产资质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或经营资质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，营业执照具有与本次询价需求相适应的营业范围。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4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Hans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Hans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报价方必须信用良好，没有不良信用记录。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4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Hans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Hans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报价方提供的产品质量应处于受控状态且可满足我方需求。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4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三、</w:t>
      </w: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报价须知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4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Hans"/>
        </w:rPr>
        <w:t>（</w:t>
      </w:r>
      <w:r>
        <w:rPr>
          <w:rFonts w:hint="eastAsia" w:ascii="楷体" w:hAnsi="楷体" w:eastAsia="楷体" w:cs="楷体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一</w:t>
      </w:r>
      <w:r>
        <w:rPr>
          <w:rFonts w:hint="eastAsia" w:ascii="楷体" w:hAnsi="楷体" w:eastAsia="楷体" w:cs="楷体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Hans"/>
        </w:rPr>
        <w:t>）</w:t>
      </w:r>
      <w:r>
        <w:rPr>
          <w:rFonts w:hint="eastAsia" w:ascii="楷体" w:hAnsi="楷体" w:eastAsia="楷体" w:cs="楷体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报价截止时间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自本公告发布之日起10天（含星期六日）后截止报价。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4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Hans"/>
        </w:rPr>
        <w:t>（</w:t>
      </w:r>
      <w:r>
        <w:rPr>
          <w:rFonts w:hint="eastAsia" w:ascii="楷体" w:hAnsi="楷体" w:eastAsia="楷体" w:cs="楷体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二</w:t>
      </w:r>
      <w:r>
        <w:rPr>
          <w:rFonts w:hint="eastAsia" w:ascii="楷体" w:hAnsi="楷体" w:eastAsia="楷体" w:cs="楷体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Hans"/>
        </w:rPr>
        <w:t>）</w:t>
      </w:r>
      <w:r>
        <w:rPr>
          <w:rFonts w:hint="eastAsia" w:ascii="楷体" w:hAnsi="楷体" w:eastAsia="楷体" w:cs="楷体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报价要求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default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Hans"/>
        </w:rPr>
        <w:t>.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报价必须提供的文件如下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</w:rPr>
        <w:t>（以下文件需一式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</w:rPr>
        <w:t>份，均要求加盖公章）：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5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</w:rPr>
      </w:pPr>
      <w:bookmarkStart w:id="1" w:name="bookmark16"/>
      <w:bookmarkEnd w:id="1"/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Hans"/>
        </w:rPr>
        <w:t>（</w:t>
      </w:r>
      <w:r>
        <w:rPr>
          <w:rFonts w:hint="default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Hans"/>
        </w:rPr>
        <w:t>1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Hans"/>
        </w:rPr>
        <w:t>）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《营业执照》、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法人身份证复印件、开户银行、帐号资料、资质证明材料等；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5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bookmarkStart w:id="2" w:name="bookmark17"/>
      <w:bookmarkEnd w:id="2"/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Hans"/>
        </w:rPr>
        <w:t>（</w:t>
      </w:r>
      <w:r>
        <w:rPr>
          <w:rFonts w:hint="default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Hans"/>
        </w:rPr>
        <w:t>2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Hans"/>
        </w:rPr>
        <w:t>）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《产品报价函》格式详见本公告附件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Hans"/>
        </w:rPr>
        <w:t>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5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 w:bidi="en-US"/>
        </w:rPr>
      </w:pPr>
      <w:bookmarkStart w:id="3" w:name="bookmark18"/>
      <w:bookmarkEnd w:id="3"/>
      <w:r>
        <w:rPr>
          <w:rFonts w:hint="default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2.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报价方报价文件必须密封包装和加签密封章，备注公司名称，并以邮件方式（推荐使用顺丰速运）邮寄到询价方处，收件地址为：广西梧州市工业园区工业大道1号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CN"/>
        </w:rPr>
        <w:t>第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4幢412室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，收件人为：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CN"/>
        </w:rPr>
        <w:t>何强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，联系电话：</w:t>
      </w:r>
      <w:bookmarkStart w:id="4" w:name="bookmark20"/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13617749936</w:t>
      </w:r>
      <w:bookmarkEnd w:id="4"/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5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  <w:sectPr>
          <w:footnotePr>
            <w:numFmt w:val="decimal"/>
          </w:footnotePr>
          <w:pgSz w:w="11900" w:h="16840"/>
          <w:pgMar w:top="2098" w:right="1474" w:bottom="1984" w:left="1587" w:header="588" w:footer="459" w:gutter="0"/>
          <w:paperSrc/>
          <w:pgNumType w:start="1"/>
          <w:cols w:space="0" w:num="1"/>
          <w:rtlGutter w:val="0"/>
          <w:docGrid w:linePitch="360" w:charSpace="0"/>
        </w:sectPr>
      </w:pPr>
      <w:r>
        <w:rPr>
          <w:rFonts w:hint="default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3.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请报价方注意把握邮寄时间，以邮件到达时间为准。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eastAsia="zh-CN"/>
        </w:rPr>
        <w:sectPr>
          <w:footnotePr>
            <w:numFmt w:val="decimal"/>
          </w:footnotePr>
          <w:type w:val="continuous"/>
          <w:pgSz w:w="11900" w:h="16840"/>
          <w:pgMar w:top="1417" w:right="1531" w:bottom="1417" w:left="1531" w:header="0" w:footer="3" w:gutter="0"/>
          <w:cols w:space="720" w:num="1"/>
          <w:rtlGutter w:val="0"/>
          <w:docGrid w:linePitch="360" w:charSpace="0"/>
        </w:sectPr>
      </w:pP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eastAsia="zh-CN"/>
        </w:rPr>
      </w:pPr>
      <w:bookmarkStart w:id="5" w:name="_GoBack"/>
      <w:bookmarkEnd w:id="5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eastAsia="zh-CN"/>
        </w:rPr>
        <w:t>附件：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  <w:t>产品报价函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广西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中恒中药材产业发展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有限公司：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经核算，我司产品报价如下</w:t>
      </w:r>
    </w:p>
    <w:tbl>
      <w:tblPr>
        <w:tblStyle w:val="10"/>
        <w:tblW w:w="10031" w:type="dxa"/>
        <w:tblInd w:w="-4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1028"/>
        <w:gridCol w:w="772"/>
        <w:gridCol w:w="816"/>
        <w:gridCol w:w="1188"/>
        <w:gridCol w:w="1224"/>
        <w:gridCol w:w="1260"/>
        <w:gridCol w:w="1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4" w:hRule="atLeast"/>
        </w:trPr>
        <w:tc>
          <w:tcPr>
            <w:tcW w:w="1865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产品名称</w:t>
            </w:r>
          </w:p>
        </w:tc>
        <w:tc>
          <w:tcPr>
            <w:tcW w:w="1028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规格</w:t>
            </w:r>
          </w:p>
        </w:tc>
        <w:tc>
          <w:tcPr>
            <w:tcW w:w="772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单位</w:t>
            </w:r>
          </w:p>
        </w:tc>
        <w:tc>
          <w:tcPr>
            <w:tcW w:w="816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91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询价数量</w:t>
            </w:r>
          </w:p>
        </w:tc>
        <w:tc>
          <w:tcPr>
            <w:tcW w:w="1188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不含税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单价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1224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含税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0"/>
              <w:jc w:val="center"/>
              <w:textAlignment w:val="auto"/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单价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126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含税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0"/>
              <w:jc w:val="center"/>
              <w:textAlignment w:val="auto"/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总价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1878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质量要求</w:t>
            </w:r>
          </w:p>
        </w:tc>
      </w:tr>
      <w:tr>
        <w:trPr>
          <w:trHeight w:val="2802" w:hRule="atLeast"/>
        </w:trPr>
        <w:tc>
          <w:tcPr>
            <w:tcW w:w="1865" w:type="dxa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15-15-15氮磷钾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经济林复合肥</w:t>
            </w:r>
          </w:p>
        </w:tc>
        <w:tc>
          <w:tcPr>
            <w:tcW w:w="1028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25</w:t>
            </w:r>
            <w:r>
              <w:rPr>
                <w:rFonts w:hint="default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kg/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包</w:t>
            </w:r>
          </w:p>
        </w:tc>
        <w:tc>
          <w:tcPr>
            <w:tcW w:w="772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  <w:t>吨</w:t>
            </w:r>
          </w:p>
        </w:tc>
        <w:tc>
          <w:tcPr>
            <w:tcW w:w="816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val="en-US" w:eastAsia="zh-CN"/>
              </w:rPr>
              <w:t>115</w:t>
            </w:r>
          </w:p>
        </w:tc>
        <w:tc>
          <w:tcPr>
            <w:tcW w:w="1188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91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91"/>
              <w:jc w:val="center"/>
              <w:textAlignment w:val="auto"/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91"/>
              <w:jc w:val="center"/>
              <w:textAlignment w:val="auto"/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</w:p>
        </w:tc>
        <w:tc>
          <w:tcPr>
            <w:tcW w:w="1878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5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</w:rPr>
              <w:t>（1）产品应符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zh-TW" w:eastAsia="zh-TW" w:bidi="zh-TW"/>
              </w:rPr>
              <w:t>合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zh-TW"/>
              </w:rPr>
              <w:t>GB/T 15063复合肥料的规定要求，N-P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vertAlign w:val="subscript"/>
                <w:lang w:val="en-US" w:eastAsia="zh-CN" w:bidi="zh-TW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zh-TW"/>
              </w:rPr>
              <w:t>O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vertAlign w:val="subscript"/>
                <w:lang w:val="en-US" w:eastAsia="zh-CN" w:bidi="zh-TW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zh-TW"/>
              </w:rPr>
              <w:t>-K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vertAlign w:val="subscript"/>
                <w:lang w:val="en-US" w:eastAsia="zh-CN" w:bidi="zh-TW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zh-TW"/>
              </w:rPr>
              <w:t>O的含量均≧15，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zh-TW"/>
              </w:rPr>
              <w:t>中、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zh-TW"/>
              </w:rPr>
              <w:t>低氯基型。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5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</w:rPr>
              <w:t>（2）产品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应为适用于经济林复合肥或桉树适用肥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</w:rPr>
              <w:t>。</w:t>
            </w:r>
          </w:p>
        </w:tc>
      </w:tr>
    </w:tbl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备注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: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1.我司开具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％增值税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发票。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2.以上价格已含产品包装、运输相关费用。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3.完成合同签订后，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天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内可到货。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237"/>
          <w:tab w:val="left" w:leader="underscore" w:pos="994"/>
          <w:tab w:val="left" w:leader="underscore" w:pos="1335"/>
          <w:tab w:val="left" w:leader="underscore" w:pos="16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4.我方本次报价在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日前有效。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报价公司（盖章）: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leader="underscore" w:pos="2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报价日期：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日</w:t>
      </w:r>
    </w:p>
    <w:sectPr>
      <w:footnotePr>
        <w:numFmt w:val="decimal"/>
      </w:footnotePr>
      <w:pgSz w:w="11900" w:h="16840"/>
      <w:pgMar w:top="1417" w:right="1531" w:bottom="1417" w:left="1531" w:header="0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vporta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Doc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Icon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Segoe Print">
    <w:altName w:val="苹方-简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</w:compat>
  <w:rsids>
    <w:rsidRoot w:val="00000000"/>
    <w:rsid w:val="03995B4A"/>
    <w:rsid w:val="0B910DAE"/>
    <w:rsid w:val="2620757C"/>
    <w:rsid w:val="3EE05E39"/>
    <w:rsid w:val="43EE57CF"/>
    <w:rsid w:val="6A1D3BBD"/>
    <w:rsid w:val="71C829A1"/>
    <w:rsid w:val="CFFD7C65"/>
    <w:rsid w:val="E577A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2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qFormat/>
    <w:uiPriority w:val="0"/>
    <w:rPr>
      <w:color w:val="2490F8"/>
      <w:u w:val="none"/>
    </w:rPr>
  </w:style>
  <w:style w:type="character" w:styleId="4">
    <w:name w:val="HTML Definition"/>
    <w:basedOn w:val="2"/>
    <w:qFormat/>
    <w:uiPriority w:val="0"/>
  </w:style>
  <w:style w:type="character" w:styleId="5">
    <w:name w:val="HTML Variable"/>
    <w:basedOn w:val="2"/>
    <w:qFormat/>
    <w:uiPriority w:val="0"/>
  </w:style>
  <w:style w:type="character" w:styleId="6">
    <w:name w:val="Hyperlink"/>
    <w:basedOn w:val="2"/>
    <w:qFormat/>
    <w:uiPriority w:val="0"/>
    <w:rPr>
      <w:color w:val="2490F8"/>
      <w:u w:val="none"/>
    </w:rPr>
  </w:style>
  <w:style w:type="character" w:styleId="7">
    <w:name w:val="HTML Code"/>
    <w:basedOn w:val="2"/>
    <w:qFormat/>
    <w:uiPriority w:val="0"/>
    <w:rPr>
      <w:rFonts w:ascii="Courier New" w:hAnsi="Courier New"/>
      <w:sz w:val="20"/>
    </w:rPr>
  </w:style>
  <w:style w:type="character" w:styleId="8">
    <w:name w:val="HTML Cite"/>
    <w:basedOn w:val="2"/>
    <w:qFormat/>
    <w:uiPriority w:val="0"/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Body text|2_"/>
    <w:basedOn w:val="2"/>
    <w:link w:val="12"/>
    <w:qFormat/>
    <w:uiPriority w:val="0"/>
    <w:rPr>
      <w:rFonts w:ascii="宋体" w:hAnsi="宋体" w:eastAsia="宋体" w:cs="宋体"/>
      <w:sz w:val="12"/>
      <w:szCs w:val="12"/>
      <w:u w:val="none"/>
      <w:shd w:val="clear" w:color="auto" w:fill="auto"/>
      <w:lang w:val="zh-TW" w:eastAsia="zh-TW" w:bidi="zh-TW"/>
    </w:rPr>
  </w:style>
  <w:style w:type="paragraph" w:customStyle="1" w:styleId="12">
    <w:name w:val="Body text|2"/>
    <w:basedOn w:val="1"/>
    <w:link w:val="11"/>
    <w:qFormat/>
    <w:uiPriority w:val="0"/>
    <w:pPr>
      <w:widowControl w:val="0"/>
      <w:shd w:val="clear" w:color="auto" w:fill="auto"/>
      <w:spacing w:after="80"/>
    </w:pPr>
    <w:rPr>
      <w:rFonts w:ascii="宋体" w:hAnsi="宋体" w:eastAsia="宋体" w:cs="宋体"/>
      <w:sz w:val="12"/>
      <w:szCs w:val="12"/>
      <w:u w:val="none"/>
      <w:shd w:val="clear" w:color="auto" w:fill="auto"/>
      <w:lang w:val="zh-TW" w:eastAsia="zh-TW" w:bidi="zh-TW"/>
    </w:rPr>
  </w:style>
  <w:style w:type="character" w:customStyle="1" w:styleId="13">
    <w:name w:val="Body text|1_"/>
    <w:basedOn w:val="2"/>
    <w:link w:val="14"/>
    <w:qFormat/>
    <w:uiPriority w:val="0"/>
    <w:rPr>
      <w:rFonts w:ascii="宋体" w:hAnsi="宋体" w:eastAsia="宋体" w:cs="宋体"/>
      <w:sz w:val="8"/>
      <w:szCs w:val="8"/>
      <w:u w:val="none"/>
      <w:shd w:val="clear" w:color="auto" w:fill="auto"/>
      <w:lang w:val="zh-TW" w:eastAsia="zh-TW" w:bidi="zh-TW"/>
    </w:rPr>
  </w:style>
  <w:style w:type="paragraph" w:customStyle="1" w:styleId="14">
    <w:name w:val="Body text|1"/>
    <w:basedOn w:val="1"/>
    <w:link w:val="13"/>
    <w:qFormat/>
    <w:uiPriority w:val="0"/>
    <w:pPr>
      <w:widowControl w:val="0"/>
      <w:shd w:val="clear" w:color="auto" w:fill="auto"/>
      <w:ind w:firstLine="90"/>
    </w:pPr>
    <w:rPr>
      <w:rFonts w:ascii="宋体" w:hAnsi="宋体" w:eastAsia="宋体" w:cs="宋体"/>
      <w:sz w:val="8"/>
      <w:szCs w:val="8"/>
      <w:u w:val="none"/>
      <w:shd w:val="clear" w:color="auto" w:fill="auto"/>
      <w:lang w:val="zh-TW" w:eastAsia="zh-TW" w:bidi="zh-TW"/>
    </w:rPr>
  </w:style>
  <w:style w:type="character" w:customStyle="1" w:styleId="15">
    <w:name w:val="Table caption|1_"/>
    <w:basedOn w:val="2"/>
    <w:link w:val="16"/>
    <w:qFormat/>
    <w:uiPriority w:val="0"/>
    <w:rPr>
      <w:rFonts w:ascii="宋体" w:hAnsi="宋体" w:eastAsia="宋体" w:cs="宋体"/>
      <w:sz w:val="8"/>
      <w:szCs w:val="8"/>
      <w:u w:val="none"/>
      <w:shd w:val="clear" w:color="auto" w:fill="auto"/>
      <w:lang w:val="zh-TW" w:eastAsia="zh-TW" w:bidi="zh-TW"/>
    </w:rPr>
  </w:style>
  <w:style w:type="paragraph" w:customStyle="1" w:styleId="16">
    <w:name w:val="Table caption|1"/>
    <w:basedOn w:val="1"/>
    <w:link w:val="15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8"/>
      <w:szCs w:val="8"/>
      <w:u w:val="none"/>
      <w:shd w:val="clear" w:color="auto" w:fill="auto"/>
      <w:lang w:val="zh-TW" w:eastAsia="zh-TW" w:bidi="zh-TW"/>
    </w:rPr>
  </w:style>
  <w:style w:type="character" w:customStyle="1" w:styleId="17">
    <w:name w:val="Other|1_"/>
    <w:basedOn w:val="2"/>
    <w:link w:val="18"/>
    <w:qFormat/>
    <w:uiPriority w:val="0"/>
    <w:rPr>
      <w:rFonts w:ascii="宋体" w:hAnsi="宋体" w:eastAsia="宋体" w:cs="宋体"/>
      <w:sz w:val="8"/>
      <w:szCs w:val="8"/>
      <w:u w:val="none"/>
      <w:shd w:val="clear" w:color="auto" w:fill="auto"/>
      <w:lang w:val="zh-TW" w:eastAsia="zh-TW" w:bidi="zh-TW"/>
    </w:rPr>
  </w:style>
  <w:style w:type="paragraph" w:customStyle="1" w:styleId="18">
    <w:name w:val="Other|1"/>
    <w:basedOn w:val="1"/>
    <w:link w:val="17"/>
    <w:qFormat/>
    <w:uiPriority w:val="0"/>
    <w:pPr>
      <w:widowControl w:val="0"/>
      <w:shd w:val="clear" w:color="auto" w:fill="auto"/>
      <w:ind w:firstLine="90"/>
    </w:pPr>
    <w:rPr>
      <w:rFonts w:ascii="宋体" w:hAnsi="宋体" w:eastAsia="宋体" w:cs="宋体"/>
      <w:sz w:val="8"/>
      <w:szCs w:val="8"/>
      <w:u w:val="none"/>
      <w:shd w:val="clear" w:color="auto" w:fill="auto"/>
      <w:lang w:val="zh-TW" w:eastAsia="zh-TW" w:bidi="zh-TW"/>
    </w:rPr>
  </w:style>
  <w:style w:type="character" w:customStyle="1" w:styleId="19">
    <w:name w:val="Picture caption|1_"/>
    <w:basedOn w:val="2"/>
    <w:link w:val="20"/>
    <w:qFormat/>
    <w:uiPriority w:val="0"/>
    <w:rPr>
      <w:rFonts w:ascii="宋体" w:hAnsi="宋体" w:eastAsia="宋体" w:cs="宋体"/>
      <w:sz w:val="8"/>
      <w:szCs w:val="8"/>
      <w:u w:val="none"/>
      <w:shd w:val="clear" w:color="auto" w:fill="auto"/>
      <w:lang w:val="zh-TW" w:eastAsia="zh-TW" w:bidi="zh-TW"/>
    </w:rPr>
  </w:style>
  <w:style w:type="paragraph" w:customStyle="1" w:styleId="20">
    <w:name w:val="Picture caption|1"/>
    <w:basedOn w:val="1"/>
    <w:link w:val="19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8"/>
      <w:szCs w:val="8"/>
      <w:u w:val="none"/>
      <w:shd w:val="clear" w:color="auto" w:fill="auto"/>
      <w:lang w:val="zh-TW" w:eastAsia="zh-TW" w:bidi="zh-TW"/>
    </w:rPr>
  </w:style>
  <w:style w:type="character" w:customStyle="1" w:styleId="21">
    <w:name w:val="Body text|3_"/>
    <w:basedOn w:val="2"/>
    <w:link w:val="22"/>
    <w:qFormat/>
    <w:uiPriority w:val="0"/>
    <w:rPr>
      <w:b/>
      <w:bCs/>
      <w:sz w:val="12"/>
      <w:szCs w:val="12"/>
      <w:u w:val="single"/>
      <w:shd w:val="clear" w:color="auto" w:fill="auto"/>
    </w:rPr>
  </w:style>
  <w:style w:type="paragraph" w:customStyle="1" w:styleId="22">
    <w:name w:val="Body text|3"/>
    <w:basedOn w:val="1"/>
    <w:link w:val="21"/>
    <w:qFormat/>
    <w:uiPriority w:val="0"/>
    <w:pPr>
      <w:widowControl w:val="0"/>
      <w:shd w:val="clear" w:color="auto" w:fill="auto"/>
      <w:ind w:firstLine="340"/>
    </w:pPr>
    <w:rPr>
      <w:b/>
      <w:bCs/>
      <w:sz w:val="12"/>
      <w:szCs w:val="12"/>
      <w:u w:val="single"/>
      <w:shd w:val="clear" w:color="auto" w:fill="auto"/>
    </w:rPr>
  </w:style>
  <w:style w:type="character" w:customStyle="1" w:styleId="23">
    <w:name w:val="icontext2"/>
    <w:basedOn w:val="2"/>
    <w:qFormat/>
    <w:uiPriority w:val="0"/>
  </w:style>
  <w:style w:type="character" w:customStyle="1" w:styleId="24">
    <w:name w:val="after"/>
    <w:basedOn w:val="2"/>
    <w:qFormat/>
    <w:uiPriority w:val="0"/>
    <w:rPr>
      <w:sz w:val="0"/>
      <w:szCs w:val="0"/>
    </w:rPr>
  </w:style>
  <w:style w:type="character" w:customStyle="1" w:styleId="25">
    <w:name w:val="pagechatarealistclose_box"/>
    <w:basedOn w:val="2"/>
    <w:qFormat/>
    <w:uiPriority w:val="0"/>
  </w:style>
  <w:style w:type="character" w:customStyle="1" w:styleId="26">
    <w:name w:val="pagechatarealistclose_box1"/>
    <w:basedOn w:val="2"/>
    <w:qFormat/>
    <w:uiPriority w:val="0"/>
  </w:style>
  <w:style w:type="character" w:customStyle="1" w:styleId="27">
    <w:name w:val="icontext3"/>
    <w:basedOn w:val="2"/>
    <w:qFormat/>
    <w:uiPriority w:val="0"/>
  </w:style>
  <w:style w:type="character" w:customStyle="1" w:styleId="28">
    <w:name w:val="cdropleft"/>
    <w:basedOn w:val="2"/>
    <w:qFormat/>
    <w:uiPriority w:val="0"/>
  </w:style>
  <w:style w:type="character" w:customStyle="1" w:styleId="29">
    <w:name w:val="cy"/>
    <w:basedOn w:val="2"/>
    <w:qFormat/>
    <w:uiPriority w:val="0"/>
  </w:style>
  <w:style w:type="character" w:customStyle="1" w:styleId="30">
    <w:name w:val="tmpztreemove_arrow"/>
    <w:basedOn w:val="2"/>
    <w:qFormat/>
    <w:uiPriority w:val="0"/>
  </w:style>
  <w:style w:type="character" w:customStyle="1" w:styleId="31">
    <w:name w:val="choosename"/>
    <w:basedOn w:val="2"/>
    <w:qFormat/>
    <w:uiPriority w:val="0"/>
  </w:style>
  <w:style w:type="character" w:customStyle="1" w:styleId="32">
    <w:name w:val="hilite"/>
    <w:basedOn w:val="2"/>
    <w:qFormat/>
    <w:uiPriority w:val="0"/>
    <w:rPr>
      <w:color w:val="FFFFFF"/>
      <w:shd w:val="clear" w:fill="666666"/>
    </w:rPr>
  </w:style>
  <w:style w:type="character" w:customStyle="1" w:styleId="33">
    <w:name w:val="biggerthanmax"/>
    <w:basedOn w:val="2"/>
    <w:qFormat/>
    <w:uiPriority w:val="0"/>
    <w:rPr>
      <w:shd w:val="clear" w:fill="FFFF00"/>
    </w:rPr>
  </w:style>
  <w:style w:type="character" w:customStyle="1" w:styleId="34">
    <w:name w:val="icontext1"/>
    <w:basedOn w:val="2"/>
    <w:qFormat/>
    <w:uiPriority w:val="0"/>
  </w:style>
  <w:style w:type="character" w:customStyle="1" w:styleId="35">
    <w:name w:val="icontext11"/>
    <w:basedOn w:val="2"/>
    <w:qFormat/>
    <w:uiPriority w:val="0"/>
  </w:style>
  <w:style w:type="character" w:customStyle="1" w:styleId="36">
    <w:name w:val="icontext12"/>
    <w:basedOn w:val="2"/>
    <w:qFormat/>
    <w:uiPriority w:val="0"/>
  </w:style>
  <w:style w:type="character" w:customStyle="1" w:styleId="37">
    <w:name w:val="iconline2"/>
    <w:basedOn w:val="2"/>
    <w:qFormat/>
    <w:uiPriority w:val="0"/>
  </w:style>
  <w:style w:type="character" w:customStyle="1" w:styleId="38">
    <w:name w:val="iconline21"/>
    <w:basedOn w:val="2"/>
    <w:qFormat/>
    <w:uiPriority w:val="0"/>
  </w:style>
  <w:style w:type="character" w:customStyle="1" w:styleId="39">
    <w:name w:val="first-child"/>
    <w:basedOn w:val="2"/>
    <w:qFormat/>
    <w:uiPriority w:val="0"/>
  </w:style>
  <w:style w:type="character" w:customStyle="1" w:styleId="40">
    <w:name w:val="design_class"/>
    <w:basedOn w:val="2"/>
    <w:qFormat/>
    <w:uiPriority w:val="0"/>
  </w:style>
  <w:style w:type="character" w:customStyle="1" w:styleId="41">
    <w:name w:val="cdropright"/>
    <w:basedOn w:val="2"/>
    <w:qFormat/>
    <w:uiPriority w:val="0"/>
  </w:style>
  <w:style w:type="character" w:customStyle="1" w:styleId="42">
    <w:name w:val="drapbtn"/>
    <w:basedOn w:val="2"/>
    <w:qFormat/>
    <w:uiPriority w:val="0"/>
  </w:style>
  <w:style w:type="character" w:customStyle="1" w:styleId="43">
    <w:name w:val="xdrichtextbox2"/>
    <w:basedOn w:val="2"/>
    <w:uiPriority w:val="0"/>
  </w:style>
  <w:style w:type="character" w:customStyle="1" w:styleId="44">
    <w:name w:val="w32"/>
    <w:basedOn w:val="2"/>
    <w:qFormat/>
    <w:uiPriority w:val="0"/>
  </w:style>
  <w:style w:type="character" w:customStyle="1" w:styleId="45">
    <w:name w:val="ico1654"/>
    <w:basedOn w:val="2"/>
    <w:uiPriority w:val="0"/>
  </w:style>
  <w:style w:type="character" w:customStyle="1" w:styleId="46">
    <w:name w:val="ico1655"/>
    <w:basedOn w:val="2"/>
    <w:qFormat/>
    <w:uiPriority w:val="0"/>
  </w:style>
  <w:style w:type="character" w:customStyle="1" w:styleId="47">
    <w:name w:val="associateddata"/>
    <w:basedOn w:val="2"/>
    <w:uiPriority w:val="0"/>
    <w:rPr>
      <w:shd w:val="clear" w:fill="50A6F9"/>
    </w:rPr>
  </w:style>
  <w:style w:type="character" w:customStyle="1" w:styleId="48">
    <w:name w:val="active6"/>
    <w:basedOn w:val="2"/>
    <w:qFormat/>
    <w:uiPriority w:val="0"/>
    <w:rPr>
      <w:color w:val="00FF00"/>
      <w:shd w:val="clear" w:fill="111111"/>
    </w:rPr>
  </w:style>
  <w:style w:type="character" w:customStyle="1" w:styleId="49">
    <w:name w:val="active7"/>
    <w:basedOn w:val="2"/>
    <w:uiPriority w:val="0"/>
    <w:rPr>
      <w:shd w:val="clear" w:fill="EC3535"/>
    </w:rPr>
  </w:style>
  <w:style w:type="character" w:customStyle="1" w:styleId="50">
    <w:name w:val="button4"/>
    <w:basedOn w:val="2"/>
    <w:qFormat/>
    <w:uiPriority w:val="0"/>
  </w:style>
  <w:style w:type="character" w:customStyle="1" w:styleId="51">
    <w:name w:val="layui-layer-tabnow"/>
    <w:basedOn w:val="2"/>
    <w:uiPriority w:val="0"/>
    <w:rPr>
      <w:bdr w:val="single" w:color="CCCCCC" w:sz="4" w:space="0"/>
      <w:shd w:val="clear" w:fill="FFFFFF"/>
    </w:rPr>
  </w:style>
  <w:style w:type="character" w:customStyle="1" w:styleId="52">
    <w:name w:val="edit_class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992</Words>
  <Characters>1085</Characters>
  <ScaleCrop>false</ScaleCrop>
  <LinksUpToDate>false</LinksUpToDate>
  <CharactersWithSpaces>1161</CharactersWithSpaces>
  <Application>WPS Office_4.0.0.6524_F1E327BC-269C-435d-A152-05C5408002CA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2022-03-31T00:25:00Z</dcterms:created>
  <dc:creator>Administrator</dc:creator>
  <cp:lastModifiedBy>joye</cp:lastModifiedBy>
  <dcterms:modified xsi:type="dcterms:W3CDTF">2022-04-07T14:27:36Z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  <property fmtid="{D5CDD505-2E9C-101B-9397-08002B2CF9AE}" pid="3" name="ICV">
    <vt:lpwstr>839B644BA9B44029992FD1B309578819</vt:lpwstr>
  </property>
</Properties>
</file>